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楷体_GB2312" w:cs="楷体_GB2312"/>
          <w:b/>
          <w:spacing w:val="80"/>
          <w:sz w:val="72"/>
          <w:szCs w:val="72"/>
        </w:rPr>
      </w:pPr>
    </w:p>
    <w:p>
      <w:pPr>
        <w:jc w:val="center"/>
        <w:rPr>
          <w:rFonts w:eastAsia="楷体_GB2312"/>
          <w:b/>
          <w:spacing w:val="80"/>
          <w:sz w:val="72"/>
          <w:szCs w:val="72"/>
        </w:rPr>
      </w:pPr>
      <w:r>
        <w:rPr>
          <w:rFonts w:hint="eastAsia" w:eastAsia="楷体_GB2312" w:cs="楷体_GB2312"/>
          <w:b/>
          <w:spacing w:val="80"/>
          <w:sz w:val="72"/>
          <w:szCs w:val="72"/>
        </w:rPr>
        <w:t>西南大学采购文件</w:t>
      </w:r>
    </w:p>
    <w:p>
      <w:pPr>
        <w:spacing w:line="700" w:lineRule="exact"/>
        <w:jc w:val="center"/>
        <w:rPr>
          <w:rFonts w:ascii="黑体" w:eastAsia="黑体"/>
          <w:sz w:val="32"/>
          <w:szCs w:val="32"/>
        </w:rPr>
      </w:pPr>
    </w:p>
    <w:p>
      <w:pPr>
        <w:spacing w:line="700" w:lineRule="exact"/>
        <w:jc w:val="center"/>
        <w:rPr>
          <w:rFonts w:ascii="黑体" w:eastAsia="黑体"/>
          <w:sz w:val="32"/>
          <w:szCs w:val="32"/>
        </w:rPr>
      </w:pPr>
    </w:p>
    <w:p>
      <w:pPr>
        <w:spacing w:line="700" w:lineRule="exact"/>
        <w:jc w:val="center"/>
        <w:rPr>
          <w:rFonts w:ascii="黑体" w:eastAsia="黑体"/>
          <w:sz w:val="32"/>
          <w:szCs w:val="32"/>
        </w:rPr>
      </w:pPr>
    </w:p>
    <w:p>
      <w:pPr>
        <w:pStyle w:val="11"/>
        <w:spacing w:line="460" w:lineRule="exact"/>
        <w:ind w:left="0"/>
        <w:outlineLvl w:val="0"/>
        <w:rPr>
          <w:rFonts w:eastAsia="黑体" w:cs="黑体"/>
          <w:bCs/>
          <w:sz w:val="32"/>
          <w:szCs w:val="32"/>
        </w:rPr>
      </w:pPr>
      <w:r>
        <w:rPr>
          <w:rFonts w:hint="eastAsia" w:eastAsia="黑体" w:cs="黑体"/>
          <w:sz w:val="36"/>
          <w:szCs w:val="36"/>
        </w:rPr>
        <w:t>项目名称：</w:t>
      </w:r>
      <w:r>
        <w:rPr>
          <w:rFonts w:hint="eastAsia" w:eastAsia="黑体" w:cs="黑体"/>
          <w:bCs/>
          <w:sz w:val="32"/>
          <w:szCs w:val="32"/>
        </w:rPr>
        <w:t>档案馆UPS蓄电池购置</w:t>
      </w:r>
    </w:p>
    <w:p>
      <w:pPr>
        <w:pStyle w:val="11"/>
        <w:spacing w:line="460" w:lineRule="exact"/>
        <w:ind w:left="0"/>
        <w:outlineLvl w:val="0"/>
        <w:rPr>
          <w:sz w:val="32"/>
          <w:szCs w:val="32"/>
        </w:rPr>
      </w:pPr>
      <w:r>
        <w:rPr>
          <w:rFonts w:hint="eastAsia" w:eastAsia="黑体" w:cs="黑体"/>
          <w:sz w:val="36"/>
          <w:szCs w:val="36"/>
        </w:rPr>
        <w:t>项目编号：</w:t>
      </w:r>
      <w:r>
        <w:rPr>
          <w:rFonts w:eastAsia="黑体" w:cs="黑体"/>
          <w:sz w:val="36"/>
          <w:szCs w:val="36"/>
        </w:rPr>
        <w:t>AXF202301783</w:t>
      </w:r>
    </w:p>
    <w:p>
      <w:pPr>
        <w:spacing w:line="700" w:lineRule="exact"/>
        <w:jc w:val="center"/>
        <w:rPr>
          <w:sz w:val="32"/>
          <w:szCs w:val="32"/>
        </w:rPr>
      </w:pPr>
    </w:p>
    <w:p>
      <w:pPr>
        <w:spacing w:line="700" w:lineRule="exact"/>
        <w:jc w:val="center"/>
        <w:rPr>
          <w:sz w:val="32"/>
          <w:szCs w:val="32"/>
        </w:rPr>
      </w:pPr>
    </w:p>
    <w:p>
      <w:pPr>
        <w:spacing w:line="700" w:lineRule="exact"/>
        <w:jc w:val="center"/>
        <w:rPr>
          <w:sz w:val="32"/>
          <w:szCs w:val="32"/>
        </w:rPr>
      </w:pPr>
    </w:p>
    <w:p>
      <w:pPr>
        <w:spacing w:line="700" w:lineRule="exact"/>
        <w:jc w:val="center"/>
        <w:outlineLvl w:val="0"/>
        <w:rPr>
          <w:rFonts w:eastAsia="黑体"/>
          <w:sz w:val="52"/>
          <w:szCs w:val="52"/>
        </w:rPr>
      </w:pPr>
      <w:r>
        <w:rPr>
          <w:rFonts w:hint="eastAsia" w:eastAsia="黑体" w:cs="黑体"/>
          <w:sz w:val="52"/>
          <w:szCs w:val="52"/>
        </w:rPr>
        <w:t>西南大学采购与招投标管理中心制</w:t>
      </w:r>
    </w:p>
    <w:p>
      <w:pPr>
        <w:spacing w:line="700" w:lineRule="exact"/>
        <w:outlineLvl w:val="0"/>
        <w:rPr>
          <w:sz w:val="52"/>
          <w:szCs w:val="52"/>
        </w:rPr>
        <w:sectPr>
          <w:headerReference r:id="rId5" w:type="first"/>
          <w:footerReference r:id="rId8" w:type="first"/>
          <w:headerReference r:id="rId3" w:type="default"/>
          <w:footerReference r:id="rId6" w:type="default"/>
          <w:headerReference r:id="rId4" w:type="even"/>
          <w:footerReference r:id="rId7" w:type="even"/>
          <w:pgSz w:w="11907" w:h="16840"/>
          <w:pgMar w:top="1440" w:right="1797" w:bottom="1440" w:left="1797" w:header="851" w:footer="992" w:gutter="0"/>
          <w:pgNumType w:start="0"/>
          <w:cols w:space="720" w:num="1"/>
          <w:titlePg/>
          <w:docGrid w:type="lines" w:linePitch="380" w:charSpace="-5733"/>
        </w:sectPr>
      </w:pPr>
    </w:p>
    <w:p>
      <w:pPr>
        <w:spacing w:line="700" w:lineRule="exact"/>
        <w:jc w:val="center"/>
        <w:outlineLvl w:val="0"/>
        <w:rPr>
          <w:rFonts w:cs="宋体"/>
          <w:sz w:val="52"/>
          <w:szCs w:val="52"/>
        </w:rPr>
      </w:pPr>
      <w:r>
        <w:rPr>
          <w:rFonts w:hint="eastAsia" w:cs="宋体"/>
          <w:sz w:val="52"/>
          <w:szCs w:val="52"/>
        </w:rPr>
        <w:t>目录</w:t>
      </w:r>
    </w:p>
    <w:p>
      <w:pPr>
        <w:spacing w:line="700" w:lineRule="exact"/>
        <w:jc w:val="center"/>
        <w:outlineLvl w:val="0"/>
        <w:rPr>
          <w:sz w:val="52"/>
          <w:szCs w:val="52"/>
        </w:rPr>
      </w:pPr>
    </w:p>
    <w:p>
      <w:pPr>
        <w:spacing w:line="700" w:lineRule="exact"/>
        <w:outlineLvl w:val="0"/>
      </w:pPr>
      <w:r>
        <w:rPr>
          <w:rFonts w:hint="eastAsia"/>
        </w:rPr>
        <w:t>第一篇 询比邀请书</w:t>
      </w:r>
      <w:r>
        <w:t>…………………………</w:t>
      </w:r>
      <w:r>
        <w:rPr>
          <w:rFonts w:hint="eastAsia"/>
        </w:rPr>
        <w:t>..</w:t>
      </w:r>
      <w:r>
        <w:t>………</w:t>
      </w:r>
      <w:r>
        <w:rPr>
          <w:rFonts w:hint="eastAsia"/>
        </w:rPr>
        <w:t>.</w:t>
      </w:r>
      <w:r>
        <w:t>…</w:t>
      </w:r>
      <w:r>
        <w:rPr>
          <w:rFonts w:hint="eastAsia"/>
        </w:rPr>
        <w:t>.2</w:t>
      </w:r>
    </w:p>
    <w:p>
      <w:pPr>
        <w:spacing w:line="700" w:lineRule="exact"/>
        <w:outlineLvl w:val="0"/>
      </w:pPr>
      <w:r>
        <w:rPr>
          <w:rFonts w:hint="eastAsia"/>
        </w:rPr>
        <w:t>第二篇 询比须知</w:t>
      </w:r>
      <w:r>
        <w:t>…………………………………………</w:t>
      </w:r>
      <w:r>
        <w:rPr>
          <w:rFonts w:hint="eastAsia"/>
        </w:rPr>
        <w:t>.4</w:t>
      </w:r>
    </w:p>
    <w:p>
      <w:pPr>
        <w:spacing w:line="700" w:lineRule="exact"/>
        <w:outlineLvl w:val="0"/>
        <w:rPr>
          <w:bCs/>
          <w:color w:val="000000"/>
          <w:sz w:val="30"/>
          <w:szCs w:val="30"/>
        </w:rPr>
      </w:pPr>
      <w:r>
        <w:rPr>
          <w:rStyle w:val="34"/>
          <w:rFonts w:hint="eastAsia" w:ascii="宋体" w:cs="宋体"/>
          <w:color w:val="000000"/>
          <w:u w:val="none"/>
        </w:rPr>
        <w:t xml:space="preserve">第三篇 </w:t>
      </w:r>
      <w:r>
        <w:rPr>
          <w:rFonts w:hint="eastAsia"/>
          <w:bCs/>
          <w:color w:val="000000"/>
          <w:sz w:val="30"/>
          <w:szCs w:val="30"/>
        </w:rPr>
        <w:t>询比项目需求</w:t>
      </w:r>
      <w:r>
        <w:rPr>
          <w:bCs/>
          <w:color w:val="000000"/>
          <w:sz w:val="30"/>
          <w:szCs w:val="30"/>
        </w:rPr>
        <w:t>……………………………</w:t>
      </w:r>
      <w:r>
        <w:rPr>
          <w:rFonts w:hint="eastAsia"/>
          <w:bCs/>
          <w:color w:val="000000"/>
          <w:sz w:val="30"/>
          <w:szCs w:val="30"/>
        </w:rPr>
        <w:t>.</w:t>
      </w:r>
      <w:r>
        <w:rPr>
          <w:bCs/>
          <w:color w:val="000000"/>
          <w:sz w:val="30"/>
          <w:szCs w:val="30"/>
        </w:rPr>
        <w:t>…</w:t>
      </w:r>
      <w:r>
        <w:rPr>
          <w:rFonts w:hint="eastAsia"/>
          <w:bCs/>
          <w:color w:val="000000"/>
          <w:sz w:val="30"/>
          <w:szCs w:val="30"/>
        </w:rPr>
        <w:t>.11</w:t>
      </w:r>
    </w:p>
    <w:p>
      <w:pPr>
        <w:spacing w:line="700" w:lineRule="exact"/>
        <w:outlineLvl w:val="0"/>
      </w:pPr>
      <w:r>
        <w:rPr>
          <w:rFonts w:hint="eastAsia"/>
        </w:rPr>
        <w:t>第四篇 商务要求</w:t>
      </w:r>
      <w:r>
        <w:t>………………………………………</w:t>
      </w:r>
      <w:r>
        <w:rPr>
          <w:rFonts w:hint="eastAsia"/>
        </w:rPr>
        <w:t>...11</w:t>
      </w:r>
    </w:p>
    <w:p>
      <w:pPr>
        <w:spacing w:line="700" w:lineRule="exact"/>
        <w:outlineLvl w:val="0"/>
        <w:rPr>
          <w:rStyle w:val="34"/>
          <w:rFonts w:cs="宋体"/>
          <w:color w:val="000000"/>
          <w:u w:val="none"/>
        </w:rPr>
      </w:pPr>
      <w:r>
        <w:rPr>
          <w:rStyle w:val="34"/>
          <w:rFonts w:hint="eastAsia" w:cs="宋体"/>
          <w:color w:val="000000"/>
          <w:u w:val="none"/>
        </w:rPr>
        <w:t>第五篇 合同主要条款及合同格式</w:t>
      </w:r>
      <w:r>
        <w:rPr>
          <w:rStyle w:val="34"/>
          <w:rFonts w:cs="宋体"/>
          <w:color w:val="000000"/>
          <w:u w:val="none"/>
        </w:rPr>
        <w:t>……………………</w:t>
      </w:r>
      <w:r>
        <w:rPr>
          <w:rStyle w:val="34"/>
          <w:rFonts w:hint="eastAsia" w:cs="宋体"/>
          <w:color w:val="000000"/>
          <w:u w:val="none"/>
        </w:rPr>
        <w:t>..13</w:t>
      </w:r>
    </w:p>
    <w:p>
      <w:pPr>
        <w:spacing w:line="700" w:lineRule="exact"/>
        <w:outlineLvl w:val="0"/>
      </w:pPr>
      <w:r>
        <w:rPr>
          <w:rStyle w:val="34"/>
          <w:rFonts w:hint="eastAsia" w:cs="宋体"/>
          <w:color w:val="000000"/>
          <w:u w:val="none"/>
        </w:rPr>
        <w:t>第六篇 询比响应文件格式要求</w:t>
      </w:r>
      <w:r>
        <w:rPr>
          <w:rStyle w:val="34"/>
          <w:rFonts w:cs="宋体"/>
          <w:color w:val="000000"/>
          <w:u w:val="none"/>
        </w:rPr>
        <w:t>………………………</w:t>
      </w:r>
      <w:r>
        <w:rPr>
          <w:rStyle w:val="34"/>
          <w:rFonts w:hint="eastAsia" w:cs="宋体"/>
          <w:color w:val="000000"/>
          <w:u w:val="none"/>
        </w:rPr>
        <w:t>..23</w:t>
      </w:r>
    </w:p>
    <w:p>
      <w:pPr>
        <w:spacing w:line="600" w:lineRule="exact"/>
        <w:rPr>
          <w:color w:val="000000"/>
        </w:rPr>
        <w:sectPr>
          <w:pgSz w:w="11907" w:h="16840"/>
          <w:pgMar w:top="1440" w:right="1797" w:bottom="1440" w:left="1797" w:header="851" w:footer="992" w:gutter="0"/>
          <w:pgNumType w:start="1"/>
          <w:cols w:space="720" w:num="1"/>
          <w:docGrid w:type="lines" w:linePitch="380" w:charSpace="-5733"/>
        </w:sectPr>
      </w:pPr>
      <w:r>
        <w:rPr>
          <w:rFonts w:hint="eastAsia" w:ascii="宋体"/>
          <w:color w:val="000000"/>
        </w:rPr>
        <w:t>附件</w:t>
      </w:r>
      <w:r>
        <w:rPr>
          <w:rFonts w:ascii="宋体"/>
          <w:color w:val="000000"/>
        </w:rPr>
        <w:t>...........................................</w:t>
      </w:r>
      <w:r>
        <w:rPr>
          <w:rFonts w:hint="eastAsia" w:ascii="宋体"/>
          <w:color w:val="000000"/>
        </w:rPr>
        <w:t>25</w:t>
      </w:r>
    </w:p>
    <w:p>
      <w:pPr>
        <w:pStyle w:val="2"/>
        <w:numPr>
          <w:ilvl w:val="0"/>
          <w:numId w:val="1"/>
        </w:numPr>
        <w:spacing w:line="500" w:lineRule="exact"/>
        <w:jc w:val="center"/>
        <w:rPr>
          <w:rFonts w:cs="Times New Roman"/>
          <w:b/>
          <w:bCs/>
          <w:color w:val="000000"/>
          <w:sz w:val="30"/>
          <w:szCs w:val="30"/>
        </w:rPr>
      </w:pPr>
      <w:bookmarkStart w:id="0" w:name="_Toc11641050"/>
      <w:bookmarkStart w:id="1" w:name="_Toc48314253"/>
      <w:bookmarkStart w:id="2" w:name="_Toc12789052"/>
      <w:r>
        <w:rPr>
          <w:rFonts w:hint="eastAsia"/>
          <w:b/>
          <w:bCs/>
          <w:color w:val="000000"/>
          <w:sz w:val="30"/>
          <w:szCs w:val="30"/>
        </w:rPr>
        <w:t>采购邀请书</w:t>
      </w:r>
      <w:bookmarkEnd w:id="0"/>
      <w:bookmarkEnd w:id="1"/>
      <w:bookmarkEnd w:id="2"/>
    </w:p>
    <w:p>
      <w:pPr>
        <w:snapToGrid w:val="0"/>
        <w:spacing w:line="520" w:lineRule="exact"/>
        <w:ind w:firstLine="645"/>
        <w:jc w:val="left"/>
        <w:rPr>
          <w:rFonts w:ascii="宋体" w:cs="宋体"/>
        </w:rPr>
      </w:pPr>
      <w:r>
        <w:rPr>
          <w:rFonts w:hint="eastAsia" w:ascii="宋体" w:cs="宋体"/>
        </w:rPr>
        <w:t>为了公开、公平、公正、合理的做好西南大学设备采购工作，我校特对</w:t>
      </w:r>
      <w:r>
        <w:rPr>
          <w:rFonts w:hint="eastAsia" w:ascii="宋体" w:cs="宋体"/>
          <w:bCs/>
          <w:color w:val="FF0000"/>
        </w:rPr>
        <w:t>档案馆UPS蓄电池购置</w:t>
      </w:r>
      <w:r>
        <w:rPr>
          <w:rFonts w:hint="eastAsia" w:ascii="宋体" w:cs="宋体"/>
        </w:rPr>
        <w:t>进行询比采购，欢迎符合资质要求的供应商前来参加采购。</w:t>
      </w:r>
    </w:p>
    <w:p>
      <w:pPr>
        <w:snapToGrid w:val="0"/>
        <w:spacing w:line="520" w:lineRule="exact"/>
        <w:ind w:firstLine="280" w:firstLineChars="100"/>
        <w:jc w:val="left"/>
        <w:rPr>
          <w:rFonts w:ascii="宋体" w:cs="宋体"/>
          <w:bCs/>
          <w:color w:val="FF0000"/>
        </w:rPr>
      </w:pPr>
      <w:r>
        <w:rPr>
          <w:rFonts w:hint="eastAsia" w:ascii="宋体" w:cs="宋体"/>
        </w:rPr>
        <w:t>1.</w:t>
      </w:r>
      <w:bookmarkStart w:id="3" w:name="_Hlk153358318"/>
      <w:r>
        <w:rPr>
          <w:rFonts w:hint="eastAsia" w:ascii="宋体" w:cs="宋体"/>
        </w:rPr>
        <w:t>项目</w:t>
      </w:r>
      <w:bookmarkEnd w:id="3"/>
      <w:r>
        <w:rPr>
          <w:rFonts w:hint="eastAsia" w:ascii="宋体" w:cs="宋体"/>
        </w:rPr>
        <w:t>名称：</w:t>
      </w:r>
      <w:r>
        <w:rPr>
          <w:rFonts w:hint="eastAsia" w:ascii="宋体" w:cs="宋体"/>
          <w:bCs/>
          <w:color w:val="FF0000"/>
        </w:rPr>
        <w:t>档案馆UPS蓄电池购置</w:t>
      </w:r>
    </w:p>
    <w:p>
      <w:pPr>
        <w:snapToGrid w:val="0"/>
        <w:spacing w:line="520" w:lineRule="exact"/>
        <w:ind w:firstLine="280" w:firstLineChars="100"/>
        <w:jc w:val="left"/>
        <w:rPr>
          <w:rFonts w:ascii="宋体" w:cs="宋体"/>
          <w:color w:val="FF0000"/>
        </w:rPr>
      </w:pPr>
      <w:r>
        <w:rPr>
          <w:rFonts w:hint="eastAsia" w:ascii="宋体" w:cs="宋体"/>
        </w:rPr>
        <w:t>项目编号</w:t>
      </w:r>
      <w:r>
        <w:rPr>
          <w:rFonts w:hint="eastAsia" w:ascii="宋体" w:cs="宋体"/>
          <w:color w:val="FF0000"/>
        </w:rPr>
        <w:t>：</w:t>
      </w:r>
      <w:bookmarkStart w:id="4" w:name="_Hlk153358919"/>
      <w:r>
        <w:rPr>
          <w:rFonts w:ascii="宋体" w:cs="宋体"/>
          <w:color w:val="FF0000"/>
        </w:rPr>
        <w:t>AXF202301783</w:t>
      </w:r>
      <w:bookmarkEnd w:id="4"/>
      <w:r>
        <w:rPr>
          <w:rFonts w:hint="eastAsia" w:ascii="宋体" w:cs="宋体"/>
          <w:color w:val="FF0000"/>
        </w:rPr>
        <w:t>;</w:t>
      </w:r>
    </w:p>
    <w:p>
      <w:pPr>
        <w:snapToGrid w:val="0"/>
        <w:spacing w:line="520" w:lineRule="exact"/>
        <w:ind w:firstLine="280" w:firstLineChars="100"/>
        <w:jc w:val="left"/>
        <w:rPr>
          <w:rFonts w:ascii="宋体" w:cs="宋体"/>
        </w:rPr>
      </w:pPr>
      <w:r>
        <w:rPr>
          <w:rFonts w:ascii="宋体" w:cs="宋体"/>
        </w:rPr>
        <w:t>2.</w:t>
      </w:r>
      <w:r>
        <w:rPr>
          <w:rFonts w:hint="eastAsia" w:ascii="宋体" w:cs="宋体"/>
        </w:rPr>
        <w:t>采购方式：询比。</w:t>
      </w:r>
    </w:p>
    <w:p>
      <w:pPr>
        <w:snapToGrid w:val="0"/>
        <w:spacing w:line="520" w:lineRule="exact"/>
        <w:rPr>
          <w:color w:val="FF6600"/>
          <w:spacing w:val="-6"/>
        </w:rPr>
      </w:pPr>
      <w:r>
        <w:rPr>
          <w:rFonts w:ascii="宋体" w:cs="宋体"/>
        </w:rPr>
        <w:t xml:space="preserve">  3.</w:t>
      </w:r>
      <w:r>
        <w:rPr>
          <w:rFonts w:hint="eastAsia" w:ascii="宋体" w:cs="宋体"/>
        </w:rPr>
        <w:t>投递询比响应</w:t>
      </w:r>
      <w:r>
        <w:rPr>
          <w:rFonts w:hint="eastAsia" w:cs="宋体"/>
          <w:spacing w:val="-6"/>
        </w:rPr>
        <w:t>文件截止时间：</w:t>
      </w:r>
      <w:bookmarkStart w:id="5" w:name="_Hlk153359141"/>
      <w:r>
        <w:rPr>
          <w:rFonts w:hint="eastAsia"/>
          <w:color w:val="FF0000"/>
          <w:spacing w:val="-6"/>
        </w:rPr>
        <w:t>2023年12月1</w:t>
      </w:r>
      <w:r>
        <w:rPr>
          <w:color w:val="FF0000"/>
          <w:spacing w:val="-6"/>
        </w:rPr>
        <w:t>8</w:t>
      </w:r>
      <w:r>
        <w:rPr>
          <w:rFonts w:hint="eastAsia"/>
          <w:color w:val="FF0000"/>
          <w:spacing w:val="-6"/>
        </w:rPr>
        <w:t>日</w:t>
      </w:r>
      <w:bookmarkEnd w:id="5"/>
      <w:r>
        <w:rPr>
          <w:rFonts w:hint="eastAsia"/>
          <w:color w:val="FF0000"/>
          <w:spacing w:val="-6"/>
        </w:rPr>
        <w:t xml:space="preserve"> </w:t>
      </w:r>
      <w:bookmarkStart w:id="6" w:name="_Hlk153441994"/>
      <w:r>
        <w:rPr>
          <w:rFonts w:hint="eastAsia"/>
          <w:color w:val="FF0000"/>
          <w:spacing w:val="-6"/>
        </w:rPr>
        <w:t>8</w:t>
      </w:r>
      <w:bookmarkEnd w:id="6"/>
      <w:r>
        <w:rPr>
          <w:rFonts w:hint="eastAsia"/>
          <w:color w:val="FF0000"/>
          <w:spacing w:val="-6"/>
        </w:rPr>
        <w:t>:40（北京时间）前</w:t>
      </w:r>
    </w:p>
    <w:p>
      <w:pPr>
        <w:snapToGrid w:val="0"/>
        <w:spacing w:line="520" w:lineRule="exact"/>
        <w:rPr>
          <w:spacing w:val="-6"/>
        </w:rPr>
      </w:pPr>
      <w:r>
        <w:rPr>
          <w:rFonts w:cs="宋体"/>
        </w:rPr>
        <w:t xml:space="preserve">  4</w:t>
      </w:r>
      <w:r>
        <w:rPr>
          <w:rFonts w:cs="宋体"/>
          <w:spacing w:val="-6"/>
        </w:rPr>
        <w:t>.</w:t>
      </w:r>
      <w:r>
        <w:rPr>
          <w:rFonts w:hint="eastAsia" w:cs="宋体"/>
          <w:spacing w:val="-6"/>
        </w:rPr>
        <w:t>询比开始时间：</w:t>
      </w:r>
      <w:bookmarkStart w:id="7" w:name="_Hlk153359226"/>
      <w:r>
        <w:rPr>
          <w:rFonts w:hint="eastAsia"/>
          <w:color w:val="FF0000"/>
          <w:spacing w:val="-6"/>
        </w:rPr>
        <w:t>2023年12月</w:t>
      </w:r>
      <w:bookmarkEnd w:id="7"/>
      <w:r>
        <w:rPr>
          <w:rFonts w:hint="eastAsia"/>
          <w:color w:val="FF0000"/>
          <w:spacing w:val="-6"/>
        </w:rPr>
        <w:t>1</w:t>
      </w:r>
      <w:r>
        <w:rPr>
          <w:color w:val="FF0000"/>
          <w:spacing w:val="-6"/>
        </w:rPr>
        <w:t>8</w:t>
      </w:r>
      <w:r>
        <w:rPr>
          <w:rFonts w:hint="eastAsia"/>
          <w:color w:val="FF0000"/>
          <w:spacing w:val="-6"/>
        </w:rPr>
        <w:t>日上午9：</w:t>
      </w:r>
      <w:r>
        <w:rPr>
          <w:color w:val="FF0000"/>
          <w:spacing w:val="-6"/>
        </w:rPr>
        <w:t>00</w:t>
      </w:r>
      <w:r>
        <w:rPr>
          <w:rFonts w:hint="eastAsia" w:cs="宋体"/>
          <w:color w:val="FF0000"/>
          <w:spacing w:val="-6"/>
        </w:rPr>
        <w:t>。</w:t>
      </w:r>
    </w:p>
    <w:p>
      <w:pPr>
        <w:snapToGrid w:val="0"/>
        <w:spacing w:line="520" w:lineRule="exact"/>
      </w:pPr>
      <w:r>
        <w:rPr>
          <w:rFonts w:cs="宋体"/>
        </w:rPr>
        <w:t xml:space="preserve">  5.</w:t>
      </w:r>
      <w:r>
        <w:rPr>
          <w:rFonts w:hint="eastAsia" w:cs="宋体"/>
        </w:rPr>
        <w:t>询比地点：</w:t>
      </w:r>
      <w:bookmarkStart w:id="8" w:name="_Toc12789054"/>
      <w:bookmarkStart w:id="9" w:name="_Toc48314255"/>
      <w:bookmarkStart w:id="10" w:name="_Toc11641053"/>
      <w:r>
        <w:rPr>
          <w:rFonts w:hint="eastAsia" w:cs="宋体"/>
        </w:rPr>
        <w:t>档案馆113会议室。</w:t>
      </w:r>
    </w:p>
    <w:p>
      <w:pPr>
        <w:snapToGrid w:val="0"/>
        <w:spacing w:line="520" w:lineRule="exact"/>
        <w:rPr>
          <w:rFonts w:cs="宋体"/>
          <w:color w:val="FF0000"/>
        </w:rPr>
      </w:pPr>
      <w:r>
        <w:rPr>
          <w:rFonts w:cs="宋体"/>
        </w:rPr>
        <w:t xml:space="preserve">  </w:t>
      </w:r>
      <w:bookmarkEnd w:id="8"/>
      <w:bookmarkEnd w:id="9"/>
      <w:bookmarkEnd w:id="10"/>
      <w:bookmarkStart w:id="11" w:name="_Toc333341723"/>
      <w:bookmarkStart w:id="12" w:name="_Toc333341977"/>
      <w:bookmarkStart w:id="13" w:name="_Toc12789056"/>
      <w:bookmarkStart w:id="14" w:name="_Toc11641054"/>
      <w:bookmarkStart w:id="15" w:name="_Toc48314257"/>
    </w:p>
    <w:p>
      <w:pPr>
        <w:widowControl/>
        <w:ind w:firstLine="560" w:firstLineChars="200"/>
        <w:jc w:val="left"/>
        <w:rPr>
          <w:b/>
          <w:bCs/>
          <w:color w:val="000000"/>
          <w:sz w:val="30"/>
          <w:szCs w:val="30"/>
        </w:rPr>
      </w:pPr>
      <w:r>
        <w:rPr>
          <w:rFonts w:hint="eastAsia" w:cs="宋体"/>
          <w:color w:val="FF0000"/>
        </w:rPr>
        <w:t xml:space="preserve">            </w:t>
      </w:r>
      <w:r>
        <w:rPr>
          <w:rFonts w:hint="eastAsia"/>
          <w:b/>
          <w:bCs/>
          <w:color w:val="000000"/>
          <w:sz w:val="30"/>
          <w:szCs w:val="30"/>
        </w:rPr>
        <w:t>第二篇  询比须知</w:t>
      </w:r>
      <w:bookmarkEnd w:id="11"/>
      <w:bookmarkEnd w:id="12"/>
    </w:p>
    <w:p>
      <w:pPr>
        <w:pStyle w:val="3"/>
        <w:ind w:firstLine="452" w:firstLineChars="150"/>
        <w:jc w:val="left"/>
        <w:rPr>
          <w:rFonts w:ascii="宋体" w:eastAsia="宋体" w:cs="Times New Roman"/>
          <w:color w:val="000000"/>
          <w:sz w:val="30"/>
          <w:szCs w:val="30"/>
          <w:lang w:eastAsia="zh-CN"/>
        </w:rPr>
      </w:pPr>
      <w:bookmarkStart w:id="16" w:name="_Toc269978822"/>
      <w:bookmarkStart w:id="17" w:name="_Toc333341978"/>
      <w:bookmarkStart w:id="18" w:name="_Toc179714294"/>
      <w:bookmarkStart w:id="19" w:name="_Toc333341724"/>
      <w:bookmarkStart w:id="20" w:name="_Toc102227314"/>
      <w:r>
        <w:rPr>
          <w:rFonts w:hint="eastAsia" w:ascii="宋体" w:eastAsia="宋体" w:cs="宋体"/>
          <w:color w:val="000000"/>
          <w:sz w:val="30"/>
          <w:szCs w:val="30"/>
          <w:lang w:eastAsia="zh-CN"/>
        </w:rPr>
        <w:t>一、询比费用</w:t>
      </w:r>
      <w:bookmarkEnd w:id="16"/>
      <w:bookmarkEnd w:id="17"/>
      <w:bookmarkEnd w:id="18"/>
      <w:bookmarkEnd w:id="19"/>
      <w:bookmarkEnd w:id="20"/>
    </w:p>
    <w:p>
      <w:pPr>
        <w:snapToGrid w:val="0"/>
        <w:spacing w:line="600" w:lineRule="exact"/>
        <w:ind w:firstLine="570"/>
        <w:rPr>
          <w:rFonts w:ascii="宋体"/>
        </w:rPr>
      </w:pPr>
      <w:r>
        <w:rPr>
          <w:rFonts w:hint="eastAsia" w:ascii="宋体" w:cs="宋体"/>
        </w:rPr>
        <w:t>询比供应商应承担其参与询比的一切费用，包括但不仅限于编制询比响应文件及递交询比响应文件等所涉及的费用；不论竞争结果如何，我校在任何情况下无义务也无责任承担这些费用。</w:t>
      </w:r>
    </w:p>
    <w:p>
      <w:pPr>
        <w:pStyle w:val="3"/>
        <w:numPr>
          <w:ilvl w:val="0"/>
          <w:numId w:val="2"/>
        </w:numPr>
        <w:ind w:firstLine="452" w:firstLineChars="150"/>
        <w:jc w:val="left"/>
        <w:rPr>
          <w:rFonts w:ascii="宋体" w:eastAsia="宋体" w:cs="宋体"/>
          <w:sz w:val="30"/>
          <w:szCs w:val="30"/>
          <w:lang w:eastAsia="zh-CN"/>
        </w:rPr>
      </w:pPr>
      <w:bookmarkStart w:id="21" w:name="_Toc333341979"/>
      <w:bookmarkStart w:id="22" w:name="_Toc333341725"/>
      <w:r>
        <w:rPr>
          <w:rFonts w:hint="eastAsia" w:ascii="宋体" w:eastAsia="宋体" w:cs="宋体"/>
          <w:sz w:val="30"/>
          <w:szCs w:val="30"/>
          <w:lang w:eastAsia="zh-CN"/>
        </w:rPr>
        <w:t>供应商资格要求</w:t>
      </w:r>
      <w:bookmarkEnd w:id="21"/>
      <w:bookmarkEnd w:id="22"/>
    </w:p>
    <w:p>
      <w:pPr>
        <w:spacing w:line="500" w:lineRule="exact"/>
        <w:rPr>
          <w:rFonts w:ascii="宋体" w:cs="宋体"/>
        </w:rPr>
      </w:pPr>
      <w:bookmarkStart w:id="23" w:name="_Toc333341980"/>
      <w:bookmarkStart w:id="24" w:name="_Toc102227317"/>
      <w:bookmarkStart w:id="25" w:name="_Toc333341726"/>
      <w:bookmarkStart w:id="26" w:name="_Toc179714296"/>
      <w:bookmarkStart w:id="27" w:name="_Toc269978824"/>
      <w:r>
        <w:rPr>
          <w:rFonts w:hint="eastAsia" w:ascii="宋体" w:cs="宋体"/>
        </w:rPr>
        <w:t>（</w:t>
      </w:r>
      <w:r>
        <w:rPr>
          <w:rFonts w:ascii="宋体" w:cs="宋体"/>
        </w:rPr>
        <w:t>1</w:t>
      </w:r>
      <w:r>
        <w:rPr>
          <w:rFonts w:hint="eastAsia" w:ascii="宋体" w:cs="宋体"/>
        </w:rPr>
        <w:t>）符合政府采购法第二十二条规定的基本条件</w:t>
      </w:r>
    </w:p>
    <w:p>
      <w:pPr>
        <w:spacing w:line="500" w:lineRule="exact"/>
        <w:rPr>
          <w:rFonts w:ascii="宋体" w:cs="宋体"/>
        </w:rPr>
      </w:pPr>
      <w:r>
        <w:rPr>
          <w:rFonts w:hint="eastAsia" w:ascii="宋体" w:cs="宋体"/>
        </w:rPr>
        <w:t>①具有独立承担民事责任的能力；</w:t>
      </w:r>
    </w:p>
    <w:p>
      <w:pPr>
        <w:spacing w:line="500" w:lineRule="exact"/>
        <w:rPr>
          <w:rFonts w:ascii="宋体" w:cs="宋体"/>
        </w:rPr>
      </w:pPr>
      <w:r>
        <w:rPr>
          <w:rFonts w:hint="eastAsia" w:ascii="宋体" w:cs="宋体"/>
        </w:rPr>
        <w:t>②具有良好的商业信誉和健全的财务会计制度；</w:t>
      </w:r>
    </w:p>
    <w:p>
      <w:pPr>
        <w:spacing w:line="500" w:lineRule="exact"/>
        <w:rPr>
          <w:rFonts w:ascii="宋体" w:cs="宋体"/>
        </w:rPr>
      </w:pPr>
      <w:r>
        <w:rPr>
          <w:rFonts w:hint="eastAsia" w:ascii="宋体" w:cs="宋体"/>
        </w:rPr>
        <w:t>③具有履行合同所必需的设备和专业技术能力；</w:t>
      </w:r>
    </w:p>
    <w:p>
      <w:pPr>
        <w:spacing w:line="500" w:lineRule="exact"/>
        <w:rPr>
          <w:rFonts w:ascii="宋体" w:cs="宋体"/>
        </w:rPr>
      </w:pPr>
      <w:r>
        <w:rPr>
          <w:rFonts w:hint="eastAsia" w:ascii="宋体" w:cs="宋体"/>
        </w:rPr>
        <w:t>④有依法缴纳税收和社会保障资金的良好记录；</w:t>
      </w:r>
    </w:p>
    <w:p>
      <w:pPr>
        <w:spacing w:line="500" w:lineRule="exact"/>
        <w:rPr>
          <w:rFonts w:ascii="宋体" w:cs="宋体"/>
        </w:rPr>
      </w:pPr>
      <w:r>
        <w:rPr>
          <w:rFonts w:hint="eastAsia" w:ascii="宋体" w:cs="宋体"/>
        </w:rPr>
        <w:t>⑤参加政府采购活动前三年内，在经营活动中没有重大违法记录。</w:t>
      </w:r>
    </w:p>
    <w:p>
      <w:pPr>
        <w:spacing w:line="500" w:lineRule="exact"/>
        <w:rPr>
          <w:rFonts w:ascii="宋体" w:cs="宋体"/>
        </w:rPr>
      </w:pPr>
      <w:r>
        <w:rPr>
          <w:rFonts w:hint="eastAsia" w:ascii="宋体" w:cs="宋体"/>
        </w:rPr>
        <w:t>（</w:t>
      </w:r>
      <w:r>
        <w:rPr>
          <w:rFonts w:ascii="宋体" w:cs="宋体"/>
        </w:rPr>
        <w:t>2</w:t>
      </w:r>
      <w:r>
        <w:rPr>
          <w:rFonts w:hint="eastAsia" w:ascii="宋体" w:cs="宋体"/>
        </w:rPr>
        <w:t>）</w:t>
      </w:r>
      <w:bookmarkStart w:id="28" w:name="OLE_LINK3"/>
      <w:bookmarkStart w:id="29" w:name="OLE_LINK4"/>
      <w:bookmarkStart w:id="30" w:name="OLE_LINK17"/>
      <w:r>
        <w:rPr>
          <w:rFonts w:hint="eastAsia" w:ascii="宋体" w:cs="宋体"/>
        </w:rPr>
        <w:t>在中华人民共和国境内合法注册、有经营许可的法人或其他组织；</w:t>
      </w:r>
    </w:p>
    <w:p>
      <w:pPr>
        <w:spacing w:line="500" w:lineRule="exact"/>
        <w:rPr>
          <w:rFonts w:ascii="宋体" w:cs="宋体"/>
        </w:rPr>
      </w:pPr>
      <w:r>
        <w:rPr>
          <w:rFonts w:hint="eastAsia" w:ascii="宋体" w:cs="宋体"/>
        </w:rPr>
        <w:t>（3）竞标人必须具有制造标的物或合法提供货物及安装、培训和售后服务的资格和能力；</w:t>
      </w:r>
    </w:p>
    <w:p>
      <w:pPr>
        <w:spacing w:line="500" w:lineRule="exact"/>
        <w:rPr>
          <w:rFonts w:ascii="宋体" w:cs="宋体"/>
        </w:rPr>
      </w:pPr>
      <w:r>
        <w:rPr>
          <w:rFonts w:hint="eastAsia" w:ascii="宋体" w:cs="宋体"/>
        </w:rPr>
        <w:t>（4）在法律上和财务上独立、合法运作并独立于采购人；</w:t>
      </w:r>
    </w:p>
    <w:p>
      <w:pPr>
        <w:spacing w:line="500" w:lineRule="exact"/>
        <w:rPr>
          <w:rFonts w:ascii="宋体" w:cs="宋体"/>
        </w:rPr>
      </w:pPr>
      <w:r>
        <w:rPr>
          <w:rFonts w:hint="eastAsia" w:ascii="宋体" w:cs="宋体"/>
        </w:rPr>
        <w:t>（5）供应商未被列入“信用中国”网站（</w:t>
      </w:r>
      <w:r>
        <w:rPr>
          <w:rFonts w:ascii="宋体" w:cs="宋体"/>
        </w:rPr>
        <w:t>www.creditchina.gov.cn</w:t>
      </w:r>
      <w:r>
        <w:rPr>
          <w:rFonts w:hint="eastAsia" w:ascii="宋体" w:cs="宋体"/>
        </w:rPr>
        <w:t>）、“失信被执行人”、</w:t>
      </w:r>
      <w:r>
        <w:rPr>
          <w:rFonts w:ascii="宋体" w:cs="宋体"/>
        </w:rPr>
        <w:t xml:space="preserve"> </w:t>
      </w:r>
      <w:r>
        <w:rPr>
          <w:rFonts w:hint="eastAsia" w:ascii="宋体" w:cs="宋体"/>
        </w:rPr>
        <w:t>“重大税收违法案件当事人名单”、“政府采购严重违法失信名单”；不处于中国政府采购网（</w:t>
      </w:r>
      <w:r>
        <w:rPr>
          <w:rFonts w:ascii="宋体" w:cs="宋体"/>
        </w:rPr>
        <w:t>www.ccgp.gov.cn</w:t>
      </w:r>
      <w:r>
        <w:rPr>
          <w:rFonts w:hint="eastAsia" w:ascii="宋体" w:cs="宋体"/>
        </w:rPr>
        <w:t>）“政府采购严重违法失信行为信息记录”中的禁止参加政府采购活动期间；</w:t>
      </w:r>
    </w:p>
    <w:p>
      <w:pPr>
        <w:spacing w:line="500" w:lineRule="exact"/>
        <w:rPr>
          <w:rFonts w:ascii="宋体" w:cs="宋体"/>
        </w:rPr>
      </w:pPr>
      <w:r>
        <w:rPr>
          <w:rFonts w:hint="eastAsia" w:ascii="宋体" w:cs="宋体"/>
        </w:rPr>
        <w:t>（6）不能是正在接受有关部门审查、被其它企业兼并（包括收购、重组）或因重大经济纠纷涉及未决诉讼的企业。</w:t>
      </w:r>
    </w:p>
    <w:p>
      <w:pPr>
        <w:spacing w:line="500" w:lineRule="exact"/>
        <w:rPr>
          <w:rFonts w:ascii="宋体" w:cs="宋体"/>
        </w:rPr>
      </w:pPr>
      <w:r>
        <w:rPr>
          <w:rFonts w:hint="eastAsia" w:ascii="宋体" w:cs="宋体"/>
        </w:rPr>
        <w:t>（7）本项目不接受具有关联关系的供应商同时竞标，一经发现，则所有具有关联关系的供应商的竞标均无效；</w:t>
      </w:r>
    </w:p>
    <w:p>
      <w:pPr>
        <w:spacing w:line="500" w:lineRule="exact"/>
        <w:rPr>
          <w:rFonts w:hint="eastAsia" w:ascii="宋体" w:eastAsia="宋体" w:cs="宋体"/>
          <w:lang w:eastAsia="zh-CN"/>
        </w:rPr>
      </w:pPr>
      <w:r>
        <w:rPr>
          <w:rFonts w:hint="eastAsia" w:ascii="宋体" w:cs="宋体"/>
        </w:rPr>
        <w:t>（8）本项目不接受联合体竞标</w:t>
      </w:r>
      <w:r>
        <w:rPr>
          <w:rFonts w:hint="eastAsia" w:ascii="宋体" w:cs="宋体"/>
          <w:lang w:eastAsia="zh-CN"/>
        </w:rPr>
        <w:t>。</w:t>
      </w:r>
    </w:p>
    <w:p>
      <w:pPr>
        <w:spacing w:line="500" w:lineRule="exact"/>
        <w:rPr>
          <w:rFonts w:ascii="宋体" w:cs="宋体"/>
        </w:rPr>
      </w:pPr>
    </w:p>
    <w:p>
      <w:pPr>
        <w:spacing w:line="500" w:lineRule="exact"/>
        <w:rPr>
          <w:rFonts w:ascii="宋体" w:cs="宋体"/>
          <w:color w:val="FF0000"/>
        </w:rPr>
      </w:pPr>
    </w:p>
    <w:bookmarkEnd w:id="28"/>
    <w:bookmarkEnd w:id="29"/>
    <w:bookmarkEnd w:id="30"/>
    <w:p>
      <w:pPr>
        <w:ind w:firstLine="452" w:firstLineChars="150"/>
        <w:rPr>
          <w:rFonts w:ascii="宋体"/>
          <w:b/>
          <w:sz w:val="30"/>
          <w:szCs w:val="30"/>
        </w:rPr>
      </w:pPr>
      <w:r>
        <w:rPr>
          <w:rFonts w:hint="eastAsia" w:ascii="宋体" w:cs="宋体"/>
          <w:b/>
          <w:sz w:val="30"/>
          <w:szCs w:val="30"/>
        </w:rPr>
        <w:t>三、询比文件</w:t>
      </w:r>
      <w:bookmarkEnd w:id="23"/>
      <w:bookmarkEnd w:id="24"/>
      <w:bookmarkEnd w:id="25"/>
      <w:bookmarkEnd w:id="26"/>
      <w:bookmarkEnd w:id="27"/>
    </w:p>
    <w:p>
      <w:pPr>
        <w:pStyle w:val="51"/>
        <w:spacing w:line="360" w:lineRule="auto"/>
        <w:ind w:firstLine="560" w:firstLineChars="200"/>
        <w:rPr>
          <w:rFonts w:ascii="Times New Roman" w:cs="Times New Roman"/>
          <w:sz w:val="28"/>
          <w:szCs w:val="28"/>
        </w:rPr>
      </w:pPr>
      <w:r>
        <w:rPr>
          <w:rFonts w:ascii="Times New Roman" w:cs="Times New Roman"/>
          <w:sz w:val="28"/>
          <w:szCs w:val="28"/>
        </w:rPr>
        <w:t>1.</w:t>
      </w:r>
      <w:r>
        <w:rPr>
          <w:rFonts w:hint="eastAsia" w:ascii="Times New Roman"/>
          <w:sz w:val="28"/>
          <w:szCs w:val="28"/>
        </w:rPr>
        <w:t>询比文件由询比邀请书、询比须知、询比项目需求、商务条款、合同主要条款及合同格式和询比响应文件格式及有关附件组成。</w:t>
      </w:r>
    </w:p>
    <w:p>
      <w:pPr>
        <w:pStyle w:val="51"/>
        <w:spacing w:line="360" w:lineRule="auto"/>
        <w:ind w:firstLine="560" w:firstLineChars="200"/>
        <w:rPr>
          <w:rFonts w:ascii="Times New Roman"/>
          <w:sz w:val="28"/>
          <w:szCs w:val="28"/>
        </w:rPr>
      </w:pPr>
      <w:r>
        <w:rPr>
          <w:rFonts w:ascii="Times New Roman" w:cs="Times New Roman"/>
          <w:sz w:val="28"/>
          <w:szCs w:val="28"/>
        </w:rPr>
        <w:t>2.</w:t>
      </w:r>
      <w:r>
        <w:rPr>
          <w:rFonts w:hint="eastAsia" w:ascii="Times New Roman"/>
          <w:sz w:val="28"/>
          <w:szCs w:val="28"/>
        </w:rPr>
        <w:t>我校所作的一切书面通知、修改及补充，都是询比文件不可分割的部分。</w:t>
      </w:r>
    </w:p>
    <w:p>
      <w:pPr>
        <w:pStyle w:val="51"/>
        <w:spacing w:line="360" w:lineRule="auto"/>
        <w:ind w:firstLine="560" w:firstLineChars="200"/>
        <w:rPr>
          <w:rStyle w:val="32"/>
          <w:rFonts w:cs="宋体"/>
          <w:b/>
          <w:bCs/>
        </w:rPr>
      </w:pPr>
      <w:r>
        <w:rPr>
          <w:rFonts w:ascii="Times New Roman" w:cs="Times New Roman"/>
          <w:sz w:val="28"/>
          <w:szCs w:val="28"/>
        </w:rPr>
        <w:t>3.</w:t>
      </w:r>
      <w:r>
        <w:rPr>
          <w:rFonts w:hint="eastAsia" w:ascii="Times New Roman" w:cs="Times New Roman"/>
          <w:sz w:val="28"/>
          <w:szCs w:val="28"/>
        </w:rPr>
        <w:t>询比响应文件报价</w:t>
      </w:r>
    </w:p>
    <w:p>
      <w:pPr>
        <w:pStyle w:val="14"/>
        <w:ind w:firstLine="677" w:firstLineChars="242"/>
        <w:rPr>
          <w:b w:val="0"/>
        </w:rPr>
      </w:pPr>
      <w:r>
        <w:rPr>
          <w:rFonts w:hint="eastAsia"/>
          <w:b w:val="0"/>
        </w:rPr>
        <w:t>参加询比采购活动的供应商，应当在响应文件里使用人民币作出</w:t>
      </w:r>
      <w:r>
        <w:rPr>
          <w:rFonts w:hint="eastAsia"/>
          <w:b w:val="0"/>
          <w:highlight w:val="yellow"/>
        </w:rPr>
        <w:t>一次性报价，评审期间不进行二次报价。</w:t>
      </w:r>
      <w:r>
        <w:rPr>
          <w:rFonts w:hint="eastAsia"/>
          <w:b w:val="0"/>
        </w:rPr>
        <w:t xml:space="preserve"> 响应文件递交截止时间前允许对报价进行修改，但须于响应文件递交截止时间前将书面修改文件传到规定的地址及接收人处。响应文件递交截止时间后，只允许对询比小组要求其作出澄清、说明或者更正的内容进行澄清、说明或更正，除此之外，响应文件的其他所有内容均不得作任何修改、说明及变更。</w:t>
      </w:r>
    </w:p>
    <w:p>
      <w:pPr>
        <w:pStyle w:val="3"/>
        <w:spacing w:before="0" w:after="0" w:line="480" w:lineRule="exact"/>
        <w:ind w:firstLine="452" w:firstLineChars="150"/>
        <w:jc w:val="left"/>
        <w:rPr>
          <w:rFonts w:ascii="宋体" w:eastAsia="宋体" w:cs="宋体"/>
          <w:color w:val="000000"/>
          <w:sz w:val="30"/>
          <w:szCs w:val="30"/>
          <w:lang w:eastAsia="zh-CN"/>
        </w:rPr>
      </w:pPr>
      <w:bookmarkStart w:id="31" w:name="_Toc333341727"/>
      <w:bookmarkStart w:id="32" w:name="_Toc333341981"/>
      <w:r>
        <w:rPr>
          <w:rFonts w:hint="eastAsia" w:ascii="宋体" w:eastAsia="宋体" w:cs="宋体"/>
          <w:color w:val="000000"/>
          <w:sz w:val="30"/>
          <w:szCs w:val="30"/>
          <w:lang w:eastAsia="zh-CN"/>
        </w:rPr>
        <w:t>四、询比程序及有关要求</w:t>
      </w:r>
      <w:bookmarkEnd w:id="31"/>
      <w:bookmarkEnd w:id="32"/>
    </w:p>
    <w:p>
      <w:pPr>
        <w:ind w:firstLine="560" w:firstLineChars="200"/>
      </w:pPr>
      <w:r>
        <w:t>1</w:t>
      </w:r>
      <w:r>
        <w:rPr>
          <w:rFonts w:hint="eastAsia"/>
        </w:rPr>
        <w:t>．询比响应文件必须按规定的时间及地点传到我馆，否则询比无效。</w:t>
      </w:r>
    </w:p>
    <w:p>
      <w:pPr>
        <w:ind w:firstLine="560" w:firstLineChars="200"/>
        <w:rPr>
          <w:color w:val="FF9900"/>
        </w:rPr>
      </w:pPr>
      <w:r>
        <w:rPr>
          <w:rFonts w:hint="eastAsia"/>
        </w:rPr>
        <w:t>2</w:t>
      </w:r>
      <w:r>
        <w:rPr>
          <w:rFonts w:hint="eastAsia" w:cs="宋体"/>
        </w:rPr>
        <w:t>．询比时由采购人代表查验响应文件密封情况，至响应文件开启时间到达后开启响应文件。</w:t>
      </w:r>
    </w:p>
    <w:p>
      <w:pPr>
        <w:snapToGrid w:val="0"/>
        <w:spacing w:line="520" w:lineRule="exact"/>
        <w:ind w:firstLine="573"/>
        <w:rPr>
          <w:rFonts w:cs="宋体"/>
        </w:rPr>
      </w:pPr>
      <w:r>
        <w:rPr>
          <w:rFonts w:hint="eastAsia"/>
        </w:rPr>
        <w:t>3</w:t>
      </w:r>
      <w:r>
        <w:rPr>
          <w:rFonts w:hint="eastAsia" w:cs="宋体"/>
        </w:rPr>
        <w:t>．询比的任何一方在未征得另一方同意的情况下，不得透露与询比有关的一切技术资料、价格或其他信息。</w:t>
      </w:r>
    </w:p>
    <w:p>
      <w:pPr>
        <w:snapToGrid w:val="0"/>
        <w:spacing w:line="520" w:lineRule="exact"/>
        <w:ind w:firstLine="573"/>
      </w:pPr>
      <w:r>
        <w:rPr>
          <w:rFonts w:hint="eastAsia"/>
        </w:rPr>
        <w:t>4</w:t>
      </w:r>
      <w:r>
        <w:rPr>
          <w:rFonts w:hint="eastAsia" w:cs="宋体"/>
        </w:rPr>
        <w:t>．</w:t>
      </w:r>
      <w:r>
        <w:t xml:space="preserve"> </w:t>
      </w:r>
      <w:r>
        <w:rPr>
          <w:rFonts w:hint="eastAsia"/>
        </w:rPr>
        <w:t>无效竞标</w:t>
      </w:r>
    </w:p>
    <w:p>
      <w:pPr>
        <w:snapToGrid w:val="0"/>
        <w:spacing w:line="520" w:lineRule="exact"/>
        <w:ind w:firstLine="573"/>
      </w:pPr>
      <w:r>
        <w:rPr>
          <w:rFonts w:hint="eastAsia"/>
        </w:rPr>
        <w:t>发生下列情况之一者,视为无效竞标:</w:t>
      </w:r>
    </w:p>
    <w:p>
      <w:pPr>
        <w:snapToGrid w:val="0"/>
        <w:spacing w:line="520" w:lineRule="exact"/>
        <w:ind w:firstLine="573"/>
      </w:pPr>
      <w:r>
        <w:rPr>
          <w:rFonts w:hint="eastAsia"/>
        </w:rPr>
        <w:t>（1）询比响应文件未按规定密封；</w:t>
      </w:r>
    </w:p>
    <w:p>
      <w:pPr>
        <w:snapToGrid w:val="0"/>
        <w:spacing w:line="520" w:lineRule="exact"/>
        <w:ind w:firstLine="573"/>
      </w:pPr>
      <w:r>
        <w:rPr>
          <w:rFonts w:hint="eastAsia"/>
        </w:rPr>
        <w:t>（2）询比响应文件逾期送达；</w:t>
      </w:r>
    </w:p>
    <w:p>
      <w:pPr>
        <w:snapToGrid w:val="0"/>
        <w:spacing w:line="520" w:lineRule="exact"/>
        <w:ind w:firstLine="573"/>
      </w:pPr>
      <w:r>
        <w:rPr>
          <w:rFonts w:hint="eastAsia"/>
        </w:rPr>
        <w:t>（3）未按询比文件规定提交询比保证金或提供的询比保证金存在瑕疵；</w:t>
      </w:r>
    </w:p>
    <w:p>
      <w:pPr>
        <w:snapToGrid w:val="0"/>
        <w:spacing w:line="520" w:lineRule="exact"/>
        <w:ind w:firstLine="573"/>
      </w:pPr>
      <w:r>
        <w:rPr>
          <w:rFonts w:hint="eastAsia"/>
        </w:rPr>
        <w:t>（4）不具备询比文件规定的资格要求或超出营业范围的竞标；</w:t>
      </w:r>
    </w:p>
    <w:p>
      <w:pPr>
        <w:snapToGrid w:val="0"/>
        <w:spacing w:line="520" w:lineRule="exact"/>
        <w:ind w:firstLine="573"/>
      </w:pPr>
      <w:r>
        <w:rPr>
          <w:rFonts w:hint="eastAsia"/>
        </w:rPr>
        <w:t>（5）询比响应文件未按询比文件规定的格式、内容填写或询比响应文件与询比文件实质性要求有严重背离；</w:t>
      </w:r>
    </w:p>
    <w:p>
      <w:pPr>
        <w:snapToGrid w:val="0"/>
        <w:spacing w:line="520" w:lineRule="exact"/>
        <w:ind w:firstLine="573"/>
      </w:pPr>
      <w:r>
        <w:rPr>
          <w:rFonts w:hint="eastAsia"/>
        </w:rPr>
        <w:t>（6）未按照询比文件要求由竞标人法定代表或委托代理人签字并加盖公章；由委托代理人签字的，未提供法定代表人授权委托书；</w:t>
      </w:r>
    </w:p>
    <w:p>
      <w:pPr>
        <w:snapToGrid w:val="0"/>
        <w:spacing w:line="520" w:lineRule="exact"/>
        <w:ind w:firstLine="573"/>
      </w:pPr>
      <w:r>
        <w:rPr>
          <w:rFonts w:hint="eastAsia"/>
        </w:rPr>
        <w:t>（7）竞标产品不符合必须强制执行的国家标准的；</w:t>
      </w:r>
    </w:p>
    <w:p>
      <w:pPr>
        <w:snapToGrid w:val="0"/>
        <w:spacing w:line="520" w:lineRule="exact"/>
        <w:ind w:firstLine="573"/>
      </w:pPr>
      <w:r>
        <w:rPr>
          <w:rFonts w:hint="eastAsia"/>
        </w:rPr>
        <w:t>（8）竞标人在询比活动中弄虚作假，提供虚假材料的；</w:t>
      </w:r>
    </w:p>
    <w:p>
      <w:pPr>
        <w:snapToGrid w:val="0"/>
        <w:spacing w:line="520" w:lineRule="exact"/>
        <w:ind w:firstLine="573"/>
      </w:pPr>
      <w:r>
        <w:rPr>
          <w:rFonts w:hint="eastAsia"/>
        </w:rPr>
        <w:t>（9）其它不符合询比文件实质要求的投标。</w:t>
      </w:r>
    </w:p>
    <w:p>
      <w:pPr>
        <w:snapToGrid w:val="0"/>
        <w:spacing w:line="520" w:lineRule="exact"/>
        <w:ind w:firstLine="560" w:firstLineChars="200"/>
        <w:rPr>
          <w:rFonts w:cs="宋体"/>
        </w:rPr>
      </w:pPr>
      <w:r>
        <w:rPr>
          <w:rFonts w:hint="eastAsia" w:cs="宋体"/>
        </w:rPr>
        <w:t>5.</w:t>
      </w:r>
      <w:r>
        <w:rPr>
          <w:rFonts w:hint="eastAsia"/>
        </w:rPr>
        <w:t xml:space="preserve"> 经询比确定最终采购需求的供应商后，由询比小组采用综合性价比法对供应商的响应文件进行综合评比。</w:t>
      </w:r>
    </w:p>
    <w:p>
      <w:pPr>
        <w:snapToGrid w:val="0"/>
        <w:spacing w:line="520" w:lineRule="exact"/>
        <w:ind w:firstLine="562" w:firstLineChars="200"/>
        <w:rPr>
          <w:rFonts w:cs="宋体"/>
        </w:rPr>
      </w:pPr>
      <w:r>
        <w:rPr>
          <w:rStyle w:val="32"/>
          <w:rFonts w:cs="宋体"/>
          <w:b/>
        </w:rPr>
        <w:t>6.</w:t>
      </w:r>
      <w:r>
        <w:t xml:space="preserve"> </w:t>
      </w:r>
      <w:r>
        <w:rPr>
          <w:rFonts w:hint="eastAsia" w:cs="宋体"/>
        </w:rPr>
        <w:t>评审标准及因素</w:t>
      </w:r>
    </w:p>
    <w:p>
      <w:pPr>
        <w:tabs>
          <w:tab w:val="left" w:pos="8100"/>
          <w:tab w:val="left" w:pos="8280"/>
        </w:tabs>
        <w:spacing w:line="520" w:lineRule="exact"/>
        <w:ind w:firstLine="539"/>
        <w:jc w:val="left"/>
        <w:rPr>
          <w:rFonts w:ascii="宋体"/>
          <w:bCs/>
        </w:rPr>
      </w:pPr>
      <w:r>
        <w:rPr>
          <w:rFonts w:hint="eastAsia" w:ascii="宋体"/>
          <w:bCs/>
        </w:rPr>
        <w:t>（</w:t>
      </w:r>
      <w:r>
        <w:rPr>
          <w:rFonts w:ascii="宋体"/>
          <w:bCs/>
        </w:rPr>
        <w:t>1</w:t>
      </w:r>
      <w:r>
        <w:rPr>
          <w:rFonts w:hint="eastAsia" w:ascii="宋体"/>
          <w:bCs/>
        </w:rPr>
        <w:t>）评审因素说明：对询比文件要求填写的“技术规格偏离表”和“商务条款偏离表”，竞标人必须按竞标货物和竞标人的情况如实逐项详细填写说明，仅填写“满足”、“符合”、“</w:t>
      </w:r>
      <w:r>
        <w:rPr>
          <w:rFonts w:ascii="宋体"/>
          <w:bCs/>
        </w:rPr>
        <w:t>OK</w:t>
      </w:r>
      <w:r>
        <w:rPr>
          <w:rFonts w:hint="eastAsia" w:ascii="宋体"/>
          <w:bCs/>
        </w:rPr>
        <w:t>”等字样者，或复制询比文件技术规格或商务相关部分内容作为其响应文件中的一部分，其响应文件将作为非实质性响应。</w:t>
      </w:r>
    </w:p>
    <w:p>
      <w:pPr>
        <w:snapToGrid w:val="0"/>
        <w:spacing w:line="520" w:lineRule="exact"/>
        <w:ind w:firstLine="280" w:firstLineChars="100"/>
        <w:rPr>
          <w:rFonts w:cs="宋体"/>
        </w:rPr>
      </w:pPr>
      <w:r>
        <w:rPr>
          <w:rFonts w:hint="eastAsia" w:cs="宋体"/>
        </w:rPr>
        <w:t>（</w:t>
      </w:r>
      <w:r>
        <w:rPr>
          <w:rFonts w:cs="宋体"/>
        </w:rPr>
        <w:t>2</w:t>
      </w:r>
      <w:r>
        <w:rPr>
          <w:rFonts w:hint="eastAsia" w:cs="宋体"/>
        </w:rPr>
        <w:t>）评审标准</w:t>
      </w:r>
    </w:p>
    <w:p>
      <w:pPr>
        <w:tabs>
          <w:tab w:val="left" w:pos="8100"/>
          <w:tab w:val="left" w:pos="8280"/>
        </w:tabs>
        <w:spacing w:line="530" w:lineRule="exact"/>
        <w:ind w:firstLine="538"/>
        <w:jc w:val="left"/>
        <w:rPr>
          <w:rFonts w:ascii="宋体"/>
        </w:rPr>
      </w:pPr>
      <w:r>
        <w:rPr>
          <w:rFonts w:hint="eastAsia" w:ascii="宋体"/>
        </w:rPr>
        <w:t>对具备实质性响应的响应单位的产品质量、价格、企业综合实力、业绩、售后服务等条件进行评审和比较。按综合性价比原则确定成交单位。</w:t>
      </w:r>
    </w:p>
    <w:p>
      <w:pPr>
        <w:snapToGrid w:val="0"/>
        <w:spacing w:line="520" w:lineRule="exact"/>
        <w:ind w:firstLine="562" w:firstLineChars="200"/>
        <w:rPr>
          <w:rFonts w:cs="宋体"/>
          <w:b/>
          <w:bCs/>
        </w:rPr>
      </w:pPr>
      <w:r>
        <w:rPr>
          <w:rFonts w:hint="eastAsia" w:cs="宋体"/>
          <w:b/>
        </w:rPr>
        <w:t>五</w:t>
      </w:r>
      <w:r>
        <w:rPr>
          <w:rFonts w:hint="eastAsia" w:cs="宋体"/>
        </w:rPr>
        <w:t>、</w:t>
      </w:r>
      <w:r>
        <w:rPr>
          <w:rFonts w:hint="eastAsia" w:cs="宋体"/>
          <w:b/>
          <w:bCs/>
        </w:rPr>
        <w:t>询比小组</w:t>
      </w:r>
    </w:p>
    <w:p>
      <w:pPr>
        <w:snapToGrid w:val="0"/>
        <w:spacing w:line="520" w:lineRule="exact"/>
        <w:ind w:firstLine="560" w:firstLineChars="200"/>
        <w:rPr>
          <w:rFonts w:cs="宋体"/>
        </w:rPr>
      </w:pPr>
      <w:r>
        <w:rPr>
          <w:rFonts w:hint="eastAsia" w:cs="宋体"/>
        </w:rPr>
        <w:t>询比小组由采购人代表和评审专家共</w:t>
      </w:r>
      <w:r>
        <w:rPr>
          <w:rFonts w:cs="宋体"/>
        </w:rPr>
        <w:t>3</w:t>
      </w:r>
      <w:r>
        <w:rPr>
          <w:rFonts w:hint="eastAsia" w:cs="宋体"/>
        </w:rPr>
        <w:t>人以上单数组成，其中评审专家人数不得少于询比小组成员总数的</w:t>
      </w:r>
      <w:r>
        <w:rPr>
          <w:rFonts w:cs="宋体"/>
        </w:rPr>
        <w:t>2/3</w:t>
      </w:r>
      <w:r>
        <w:rPr>
          <w:rFonts w:hint="eastAsia" w:cs="宋体"/>
        </w:rPr>
        <w:t>。评审专家应当遵守评审工作纪律，不得泄露评审情况和评审中获悉的商业秘密。询比小组成员应当按照客观、公正、审慎的原则，根据询比文件规定的评审程序、评审方法和评审标准进行独立评审。未实质性响应询比文件的响应文件按无效响应处理，询比小组应告知提交响应文件的供应商；询比文件内容违反国家有关强制性规定的，询比小组应当停止评审并向采购人说明情况。</w:t>
      </w:r>
    </w:p>
    <w:p>
      <w:pPr>
        <w:pStyle w:val="3"/>
        <w:spacing w:line="460" w:lineRule="exact"/>
        <w:ind w:firstLine="452" w:firstLineChars="150"/>
        <w:jc w:val="left"/>
        <w:rPr>
          <w:rFonts w:ascii="宋体" w:eastAsia="宋体" w:cs="Times New Roman"/>
          <w:color w:val="000000"/>
          <w:sz w:val="30"/>
          <w:szCs w:val="30"/>
          <w:lang w:eastAsia="zh-CN"/>
        </w:rPr>
      </w:pPr>
      <w:r>
        <w:rPr>
          <w:rFonts w:hint="eastAsia" w:ascii="宋体" w:eastAsia="宋体" w:cs="宋体"/>
          <w:color w:val="000000"/>
          <w:sz w:val="30"/>
          <w:szCs w:val="30"/>
          <w:lang w:eastAsia="zh-CN"/>
        </w:rPr>
        <w:t>六、评审依据</w:t>
      </w:r>
    </w:p>
    <w:p>
      <w:pPr>
        <w:snapToGrid w:val="0"/>
        <w:spacing w:line="460" w:lineRule="exact"/>
        <w:ind w:firstLine="573"/>
        <w:rPr>
          <w:rFonts w:cs="宋体"/>
        </w:rPr>
      </w:pPr>
      <w:r>
        <w:rPr>
          <w:rFonts w:hint="eastAsia" w:cs="宋体"/>
        </w:rPr>
        <w:t>评审的依据为询比响应文件（含有效的补充文件），询比小组判断询比响应文件对询比文件的响应仅基于询比响应文件本身而不靠外部证据。</w:t>
      </w:r>
    </w:p>
    <w:p>
      <w:pPr>
        <w:pStyle w:val="3"/>
        <w:spacing w:line="460" w:lineRule="exact"/>
        <w:ind w:firstLine="452" w:firstLineChars="150"/>
        <w:jc w:val="left"/>
        <w:rPr>
          <w:rFonts w:ascii="宋体" w:eastAsia="宋体" w:cs="Times New Roman"/>
          <w:color w:val="000000"/>
          <w:sz w:val="30"/>
          <w:szCs w:val="30"/>
          <w:lang w:eastAsia="zh-CN"/>
        </w:rPr>
      </w:pPr>
      <w:bookmarkStart w:id="33" w:name="_Toc333341982"/>
      <w:bookmarkStart w:id="34" w:name="_Toc333341728"/>
      <w:r>
        <w:rPr>
          <w:rFonts w:hint="eastAsia" w:ascii="宋体" w:eastAsia="宋体" w:cs="宋体"/>
          <w:color w:val="000000"/>
          <w:sz w:val="30"/>
          <w:szCs w:val="30"/>
          <w:lang w:eastAsia="zh-CN"/>
        </w:rPr>
        <w:t>七、成交原则</w:t>
      </w:r>
      <w:bookmarkEnd w:id="33"/>
      <w:bookmarkEnd w:id="34"/>
    </w:p>
    <w:p>
      <w:pPr>
        <w:snapToGrid w:val="0"/>
        <w:spacing w:line="520" w:lineRule="exact"/>
        <w:ind w:firstLine="560" w:firstLineChars="200"/>
        <w:rPr>
          <w:rFonts w:cs="宋体"/>
        </w:rPr>
      </w:pPr>
      <w:bookmarkStart w:id="35" w:name="_Toc333341729"/>
      <w:bookmarkStart w:id="36" w:name="_Toc333341983"/>
      <w:r>
        <w:rPr>
          <w:rFonts w:hint="eastAsia" w:cs="宋体"/>
        </w:rPr>
        <w:t>询比小组采用</w:t>
      </w:r>
      <w:r>
        <w:rPr>
          <w:rFonts w:hint="eastAsia" w:cs="宋体"/>
          <w:b/>
          <w:color w:val="FF0000"/>
          <w:sz w:val="32"/>
          <w:szCs w:val="32"/>
        </w:rPr>
        <w:t>综合性价比法</w:t>
      </w:r>
      <w:r>
        <w:rPr>
          <w:rFonts w:hint="eastAsia" w:cs="宋体"/>
        </w:rPr>
        <w:t>对供应商的响应文件和报价进行综合评比、排序，</w:t>
      </w:r>
      <w:r>
        <w:rPr>
          <w:rStyle w:val="32"/>
          <w:rFonts w:hint="eastAsia"/>
          <w:b/>
          <w:bCs/>
        </w:rPr>
        <w:t>按排名第一的为成交供应商,如成交供应商因不可抗力或者自身原因不能履行合同的,采购人可以确定排名其后第一位的成交候选供应商为成交供应商,以此类推。</w:t>
      </w:r>
    </w:p>
    <w:bookmarkEnd w:id="13"/>
    <w:bookmarkEnd w:id="14"/>
    <w:bookmarkEnd w:id="15"/>
    <w:bookmarkEnd w:id="35"/>
    <w:bookmarkEnd w:id="36"/>
    <w:p>
      <w:pPr>
        <w:spacing w:line="360" w:lineRule="auto"/>
        <w:ind w:firstLine="562" w:firstLineChars="200"/>
        <w:rPr>
          <w:rFonts w:ascii="宋体" w:hAnsi="宋体" w:cs="宋体"/>
          <w:b/>
          <w:bCs/>
        </w:rPr>
      </w:pPr>
      <w:bookmarkStart w:id="37" w:name="_Toc467600712"/>
      <w:bookmarkStart w:id="38" w:name="_Toc462821752"/>
      <w:bookmarkStart w:id="39" w:name="_Toc333341731"/>
      <w:bookmarkStart w:id="40" w:name="_Toc48314258"/>
      <w:bookmarkStart w:id="41" w:name="_Toc333341985"/>
    </w:p>
    <w:p>
      <w:pPr>
        <w:spacing w:line="360" w:lineRule="auto"/>
        <w:ind w:firstLine="562" w:firstLineChars="200"/>
        <w:rPr>
          <w:rFonts w:ascii="宋体" w:hAnsi="宋体" w:cs="宋体"/>
          <w:b/>
          <w:bCs/>
        </w:rPr>
      </w:pPr>
      <w:r>
        <w:rPr>
          <w:rFonts w:hint="eastAsia" w:ascii="宋体" w:hAnsi="宋体" w:cs="宋体"/>
          <w:b/>
          <w:bCs/>
        </w:rPr>
        <w:t>八、</w:t>
      </w:r>
      <w:bookmarkEnd w:id="37"/>
      <w:bookmarkEnd w:id="38"/>
      <w:r>
        <w:rPr>
          <w:rFonts w:hint="eastAsia" w:ascii="宋体" w:hAnsi="宋体" w:cs="宋体"/>
          <w:b/>
          <w:bCs/>
        </w:rPr>
        <w:t>确定成交人</w:t>
      </w:r>
    </w:p>
    <w:p>
      <w:pPr>
        <w:snapToGrid w:val="0"/>
        <w:spacing w:line="360" w:lineRule="auto"/>
        <w:ind w:firstLine="560" w:firstLineChars="200"/>
        <w:rPr>
          <w:rFonts w:ascii="宋体" w:hAnsi="宋体" w:cs="宋体"/>
          <w:bCs/>
        </w:rPr>
      </w:pPr>
      <w:r>
        <w:rPr>
          <w:rFonts w:hint="eastAsia" w:ascii="宋体" w:hAnsi="宋体"/>
        </w:rPr>
        <w:t>采购人在收到评审报告后5个工作日内，</w:t>
      </w:r>
      <w:r>
        <w:rPr>
          <w:rFonts w:hint="eastAsia" w:ascii="宋体" w:hAnsi="宋体" w:cs="宋体"/>
          <w:bCs/>
        </w:rPr>
        <w:t>采购人有权核实成交候选人的实际情况与询比响应文件内容的一致性，对提供虚假材料的供应商作取消成交资格并按相关规定处理；对实际情况与询比响应文件内容一致排名第一的，确定为成交人并向其发出成交通知书。</w:t>
      </w:r>
    </w:p>
    <w:p>
      <w:pPr>
        <w:spacing w:line="360" w:lineRule="auto"/>
        <w:ind w:firstLine="422" w:firstLineChars="150"/>
        <w:rPr>
          <w:rFonts w:ascii="宋体" w:hAnsi="宋体" w:cs="宋体"/>
          <w:b/>
          <w:bCs/>
        </w:rPr>
      </w:pPr>
      <w:bookmarkStart w:id="42" w:name="_Toc462821753"/>
      <w:bookmarkStart w:id="43" w:name="_Toc467600713"/>
      <w:r>
        <w:rPr>
          <w:rFonts w:hint="eastAsia" w:ascii="宋体" w:hAnsi="宋体" w:cs="宋体"/>
          <w:b/>
          <w:bCs/>
        </w:rPr>
        <w:t>九、</w:t>
      </w:r>
      <w:bookmarkEnd w:id="42"/>
      <w:bookmarkEnd w:id="43"/>
      <w:bookmarkStart w:id="44" w:name="_Toc467600714"/>
      <w:bookmarkStart w:id="45" w:name="_Toc462821754"/>
      <w:r>
        <w:rPr>
          <w:rFonts w:hint="eastAsia" w:ascii="宋体" w:hAnsi="宋体" w:cs="宋体"/>
          <w:b/>
          <w:bCs/>
        </w:rPr>
        <w:t>合同签订</w:t>
      </w:r>
      <w:bookmarkEnd w:id="44"/>
      <w:bookmarkEnd w:id="45"/>
    </w:p>
    <w:p>
      <w:pPr>
        <w:snapToGrid w:val="0"/>
        <w:spacing w:line="360" w:lineRule="auto"/>
        <w:ind w:firstLine="536" w:firstLineChars="200"/>
        <w:rPr>
          <w:rFonts w:ascii="宋体" w:hAnsi="宋体" w:cs="宋体"/>
          <w:bCs/>
          <w:spacing w:val="-6"/>
        </w:rPr>
      </w:pPr>
      <w:r>
        <w:rPr>
          <w:rFonts w:ascii="宋体" w:hAnsi="宋体" w:cs="宋体"/>
          <w:bCs/>
          <w:spacing w:val="-6"/>
        </w:rPr>
        <w:t>1.</w:t>
      </w:r>
      <w:r>
        <w:rPr>
          <w:rFonts w:hint="eastAsia" w:ascii="宋体" w:hAnsi="宋体" w:cs="宋体"/>
          <w:bCs/>
          <w:spacing w:val="-6"/>
        </w:rPr>
        <w:t>成交供应商应持成交通知书等前来西南大学签订采购合同。</w:t>
      </w:r>
    </w:p>
    <w:p>
      <w:pPr>
        <w:snapToGrid w:val="0"/>
        <w:spacing w:line="360" w:lineRule="auto"/>
        <w:ind w:firstLine="536" w:firstLineChars="200"/>
        <w:rPr>
          <w:rFonts w:ascii="宋体" w:hAnsi="宋体" w:cs="宋体"/>
          <w:bCs/>
          <w:spacing w:val="-6"/>
        </w:rPr>
      </w:pPr>
      <w:r>
        <w:rPr>
          <w:rFonts w:ascii="宋体" w:hAnsi="宋体" w:cs="宋体"/>
          <w:bCs/>
          <w:spacing w:val="-6"/>
        </w:rPr>
        <w:t>2.</w:t>
      </w:r>
      <w:r>
        <w:rPr>
          <w:rFonts w:hint="eastAsia" w:ascii="宋体" w:hAnsi="宋体" w:cs="宋体"/>
          <w:bCs/>
          <w:spacing w:val="-6"/>
        </w:rPr>
        <w:t>询比文件、询比响应文件及相关补充文件、澄清文件、特殊承诺等是签订合同的依据。</w:t>
      </w:r>
    </w:p>
    <w:p>
      <w:pPr>
        <w:spacing w:line="360" w:lineRule="auto"/>
        <w:ind w:firstLine="422" w:firstLineChars="150"/>
        <w:rPr>
          <w:rFonts w:ascii="宋体" w:hAnsi="宋体" w:cs="宋体"/>
          <w:b/>
        </w:rPr>
      </w:pPr>
      <w:bookmarkStart w:id="46" w:name="_Toc333341984"/>
      <w:bookmarkStart w:id="47" w:name="_Toc333341730"/>
      <w:bookmarkStart w:id="48" w:name="_Toc467600715"/>
      <w:bookmarkStart w:id="49" w:name="_Toc462821755"/>
      <w:r>
        <w:rPr>
          <w:rFonts w:hint="eastAsia" w:ascii="宋体" w:hAnsi="宋体" w:cs="宋体"/>
          <w:b/>
        </w:rPr>
        <w:t>十、出现以下情况之一的，应作为采购失败处理，除第</w:t>
      </w:r>
      <w:r>
        <w:rPr>
          <w:rFonts w:ascii="宋体" w:hAnsi="宋体" w:cs="宋体"/>
          <w:b/>
        </w:rPr>
        <w:t>3</w:t>
      </w:r>
      <w:r>
        <w:rPr>
          <w:rFonts w:hint="eastAsia" w:ascii="宋体" w:hAnsi="宋体" w:cs="宋体"/>
          <w:b/>
        </w:rPr>
        <w:t>项采购任务取消情形外，应重新组织采购</w:t>
      </w:r>
      <w:bookmarkEnd w:id="46"/>
      <w:bookmarkEnd w:id="47"/>
      <w:r>
        <w:rPr>
          <w:rFonts w:hint="eastAsia" w:ascii="宋体" w:hAnsi="宋体" w:cs="宋体"/>
          <w:b/>
        </w:rPr>
        <w:t>。</w:t>
      </w:r>
      <w:bookmarkEnd w:id="48"/>
      <w:bookmarkEnd w:id="49"/>
    </w:p>
    <w:p>
      <w:pPr>
        <w:snapToGrid w:val="0"/>
        <w:spacing w:line="360" w:lineRule="auto"/>
        <w:ind w:firstLine="573"/>
        <w:rPr>
          <w:rFonts w:ascii="宋体" w:hAnsi="宋体"/>
        </w:rPr>
      </w:pPr>
      <w:r>
        <w:rPr>
          <w:rFonts w:ascii="宋体" w:hAnsi="宋体"/>
        </w:rPr>
        <w:t>1.</w:t>
      </w:r>
      <w:r>
        <w:rPr>
          <w:rFonts w:hint="eastAsia" w:ascii="宋体" w:hAnsi="宋体" w:cs="宋体"/>
        </w:rPr>
        <w:t>出现影响采购公正的违法、违规行为的；</w:t>
      </w:r>
    </w:p>
    <w:p>
      <w:pPr>
        <w:snapToGrid w:val="0"/>
        <w:spacing w:line="360" w:lineRule="auto"/>
        <w:ind w:firstLine="573"/>
        <w:rPr>
          <w:rFonts w:ascii="宋体" w:hAnsi="宋体"/>
        </w:rPr>
      </w:pPr>
      <w:r>
        <w:rPr>
          <w:rFonts w:ascii="宋体" w:hAnsi="宋体"/>
        </w:rPr>
        <w:t>2.</w:t>
      </w:r>
      <w:r>
        <w:rPr>
          <w:rFonts w:hint="eastAsia" w:ascii="宋体" w:hAnsi="宋体" w:cs="宋体"/>
        </w:rPr>
        <w:t>供应商的报价均超过了采购预算，采购人不能支付的；</w:t>
      </w:r>
    </w:p>
    <w:p>
      <w:pPr>
        <w:snapToGrid w:val="0"/>
        <w:spacing w:line="360" w:lineRule="auto"/>
        <w:ind w:firstLine="573"/>
        <w:rPr>
          <w:rFonts w:ascii="宋体" w:hAnsi="宋体" w:cs="宋体"/>
        </w:rPr>
      </w:pPr>
      <w:r>
        <w:rPr>
          <w:rFonts w:ascii="宋体" w:hAnsi="宋体"/>
        </w:rPr>
        <w:t>3.</w:t>
      </w:r>
      <w:r>
        <w:rPr>
          <w:rFonts w:hint="eastAsia" w:ascii="宋体" w:hAnsi="宋体" w:cs="宋体"/>
        </w:rPr>
        <w:t>因不可抗力导致重大变故，采购任务取消的。</w:t>
      </w:r>
    </w:p>
    <w:p>
      <w:pPr>
        <w:widowControl/>
        <w:tabs>
          <w:tab w:val="left" w:pos="709"/>
        </w:tabs>
        <w:spacing w:line="360" w:lineRule="auto"/>
        <w:jc w:val="left"/>
        <w:rPr>
          <w:b/>
          <w:color w:val="FF0000"/>
        </w:rPr>
      </w:pPr>
    </w:p>
    <w:p>
      <w:pPr>
        <w:spacing w:line="360" w:lineRule="auto"/>
        <w:ind w:firstLine="281" w:firstLineChars="100"/>
        <w:rPr>
          <w:b/>
        </w:rPr>
      </w:pPr>
      <w:r>
        <w:rPr>
          <w:rFonts w:hint="eastAsia"/>
          <w:b/>
        </w:rPr>
        <w:t>十一、询问及质疑</w:t>
      </w:r>
    </w:p>
    <w:p>
      <w:pPr>
        <w:snapToGrid w:val="0"/>
        <w:spacing w:line="360" w:lineRule="auto"/>
        <w:ind w:firstLine="573"/>
        <w:rPr>
          <w:rFonts w:ascii="宋体" w:hAnsi="宋体"/>
        </w:rPr>
      </w:pPr>
      <w:r>
        <w:rPr>
          <w:rFonts w:hint="eastAsia" w:ascii="宋体" w:hAnsi="宋体"/>
        </w:rPr>
        <w:t xml:space="preserve">1.询问及质疑  </w:t>
      </w:r>
    </w:p>
    <w:p>
      <w:pPr>
        <w:snapToGrid w:val="0"/>
        <w:spacing w:line="360" w:lineRule="auto"/>
        <w:ind w:firstLine="573"/>
        <w:rPr>
          <w:rFonts w:ascii="宋体" w:hAnsi="宋体"/>
        </w:rPr>
      </w:pPr>
      <w:r>
        <w:rPr>
          <w:rFonts w:hint="eastAsia" w:ascii="宋体" w:hAnsi="宋体"/>
        </w:rPr>
        <w:t>（1）对采购文件的询问及质疑必须在采购文件发布期内进行；</w:t>
      </w:r>
    </w:p>
    <w:p>
      <w:pPr>
        <w:snapToGrid w:val="0"/>
        <w:spacing w:line="360" w:lineRule="auto"/>
        <w:ind w:firstLine="573"/>
        <w:rPr>
          <w:rFonts w:ascii="宋体" w:hAnsi="宋体"/>
        </w:rPr>
      </w:pPr>
      <w:r>
        <w:rPr>
          <w:rFonts w:hint="eastAsia" w:ascii="宋体" w:hAnsi="宋体"/>
        </w:rPr>
        <w:t>（2）对采购过程的询问及质疑须在各采购程序环节结束之日起3个工作日内提出；</w:t>
      </w:r>
    </w:p>
    <w:p>
      <w:pPr>
        <w:snapToGrid w:val="0"/>
        <w:spacing w:line="360" w:lineRule="auto"/>
        <w:ind w:firstLine="573"/>
        <w:rPr>
          <w:rFonts w:ascii="宋体" w:hAnsi="宋体"/>
        </w:rPr>
      </w:pPr>
      <w:r>
        <w:rPr>
          <w:rFonts w:hint="eastAsia" w:ascii="宋体" w:hAnsi="宋体"/>
        </w:rPr>
        <w:t>（3）对采购结果的质疑须在采购结果公告期界满之日起三个工作日内提出（采购结果公告在西南大学采购与招投标管理中心网页上发布，公告期为1个工作日）。</w:t>
      </w:r>
    </w:p>
    <w:p>
      <w:pPr>
        <w:snapToGrid w:val="0"/>
        <w:spacing w:line="520" w:lineRule="exact"/>
        <w:ind w:firstLine="560" w:firstLineChars="200"/>
        <w:rPr>
          <w:rFonts w:ascii="宋体" w:cs="宋体"/>
        </w:rPr>
      </w:pPr>
      <w:r>
        <w:rPr>
          <w:rFonts w:hint="eastAsia" w:ascii="宋体" w:cs="宋体"/>
        </w:rPr>
        <w:t>询问、质疑电话：023-68251032，</w:t>
      </w:r>
      <w:r>
        <w:t>023-6825</w:t>
      </w:r>
      <w:r>
        <w:rPr>
          <w:rFonts w:hint="eastAsia"/>
        </w:rPr>
        <w:t>0189，邮箱：724211301@qq.com</w:t>
      </w:r>
    </w:p>
    <w:p>
      <w:pPr>
        <w:spacing w:line="360" w:lineRule="auto"/>
        <w:ind w:right="12" w:firstLine="562" w:firstLineChars="201"/>
        <w:rPr>
          <w:rFonts w:ascii="宋体" w:hAnsi="宋体"/>
        </w:rPr>
      </w:pPr>
      <w:r>
        <w:rPr>
          <w:rFonts w:hint="eastAsia" w:ascii="宋体" w:hAnsi="宋体"/>
        </w:rPr>
        <w:t>2.质疑答复时限</w:t>
      </w:r>
    </w:p>
    <w:p>
      <w:pPr>
        <w:spacing w:line="360" w:lineRule="auto"/>
        <w:ind w:right="12" w:firstLine="480"/>
        <w:rPr>
          <w:rFonts w:ascii="宋体" w:hAnsi="宋体"/>
        </w:rPr>
      </w:pPr>
      <w:r>
        <w:rPr>
          <w:rFonts w:hint="eastAsia" w:ascii="宋体" w:hAnsi="宋体"/>
        </w:rPr>
        <w:t>采购人在收到询比人书面质疑后7个工作日内，对质疑内容作出答复。</w:t>
      </w:r>
    </w:p>
    <w:p>
      <w:pPr>
        <w:spacing w:line="360" w:lineRule="auto"/>
        <w:ind w:right="12" w:firstLine="480"/>
        <w:rPr>
          <w:rFonts w:ascii="宋体" w:hAnsi="宋体"/>
        </w:rPr>
      </w:pPr>
      <w:r>
        <w:rPr>
          <w:rFonts w:hint="eastAsia" w:ascii="宋体" w:hAnsi="宋体"/>
        </w:rPr>
        <w:t>3.不予受理或暂缓受理</w:t>
      </w:r>
    </w:p>
    <w:p>
      <w:pPr>
        <w:spacing w:line="360" w:lineRule="auto"/>
        <w:ind w:right="12" w:firstLine="480"/>
        <w:rPr>
          <w:rFonts w:ascii="宋体" w:hAnsi="宋体"/>
        </w:rPr>
      </w:pPr>
      <w:r>
        <w:rPr>
          <w:rFonts w:hint="eastAsia" w:ascii="宋体" w:hAnsi="宋体"/>
        </w:rPr>
        <w:t>（1）质疑有下列情形之一的，不予受理：</w:t>
      </w:r>
    </w:p>
    <w:p>
      <w:pPr>
        <w:spacing w:line="360" w:lineRule="auto"/>
        <w:ind w:right="12" w:firstLine="618" w:firstLineChars="221"/>
        <w:rPr>
          <w:rFonts w:ascii="宋体" w:hAnsi="宋体"/>
        </w:rPr>
      </w:pPr>
      <w:r>
        <w:rPr>
          <w:rFonts w:hint="eastAsia" w:ascii="宋体" w:hAnsi="宋体"/>
        </w:rPr>
        <w:t>①质疑供应商参与了询比活动后，再对询比文件内容提出质疑的；</w:t>
      </w:r>
    </w:p>
    <w:p>
      <w:pPr>
        <w:spacing w:line="360" w:lineRule="auto"/>
        <w:ind w:right="12" w:firstLine="618" w:firstLineChars="221"/>
        <w:rPr>
          <w:rFonts w:ascii="宋体" w:hAnsi="宋体"/>
        </w:rPr>
      </w:pPr>
      <w:r>
        <w:rPr>
          <w:rFonts w:hint="eastAsia" w:ascii="宋体" w:hAnsi="宋体"/>
        </w:rPr>
        <w:t>②质疑超过有效期的；</w:t>
      </w:r>
    </w:p>
    <w:p>
      <w:pPr>
        <w:spacing w:line="360" w:lineRule="auto"/>
        <w:ind w:right="12" w:firstLine="618" w:firstLineChars="221"/>
        <w:rPr>
          <w:rFonts w:ascii="宋体" w:hAnsi="宋体"/>
        </w:rPr>
      </w:pPr>
      <w:r>
        <w:rPr>
          <w:rFonts w:hint="eastAsia" w:ascii="宋体" w:hAnsi="宋体"/>
        </w:rPr>
        <w:t>③对同一事项重复质疑的。</w:t>
      </w:r>
    </w:p>
    <w:p>
      <w:pPr>
        <w:spacing w:line="360" w:lineRule="auto"/>
        <w:ind w:right="12" w:firstLine="480"/>
        <w:rPr>
          <w:rFonts w:ascii="宋体" w:hAnsi="宋体"/>
        </w:rPr>
      </w:pPr>
      <w:r>
        <w:rPr>
          <w:rFonts w:hint="eastAsia" w:ascii="宋体" w:hAnsi="宋体"/>
        </w:rPr>
        <w:t>（2）质疑有下列情形之一的，应暂不受理并告知响应人补充材料。响应人及时补充材料的，应予受理；逾期未补充的，不予受理：</w:t>
      </w:r>
    </w:p>
    <w:p>
      <w:pPr>
        <w:spacing w:line="360" w:lineRule="auto"/>
        <w:ind w:right="12" w:firstLine="618" w:firstLineChars="221"/>
        <w:rPr>
          <w:rFonts w:ascii="宋体" w:hAnsi="宋体"/>
        </w:rPr>
      </w:pPr>
      <w:r>
        <w:rPr>
          <w:rFonts w:hint="eastAsia" w:ascii="宋体" w:hAnsi="宋体"/>
        </w:rPr>
        <w:t>①质疑书格式和内容不符合国家相关规定的；</w:t>
      </w:r>
    </w:p>
    <w:p>
      <w:pPr>
        <w:spacing w:line="360" w:lineRule="auto"/>
        <w:ind w:right="12" w:firstLine="618" w:firstLineChars="221"/>
        <w:rPr>
          <w:rFonts w:ascii="宋体" w:hAnsi="宋体"/>
        </w:rPr>
      </w:pPr>
      <w:r>
        <w:rPr>
          <w:rFonts w:hint="eastAsia" w:ascii="宋体" w:hAnsi="宋体"/>
        </w:rPr>
        <w:t>②质疑书提供的依据或证明材料不全的；</w:t>
      </w:r>
    </w:p>
    <w:p>
      <w:pPr>
        <w:spacing w:line="360" w:lineRule="auto"/>
        <w:ind w:right="12" w:firstLine="618" w:firstLineChars="221"/>
        <w:rPr>
          <w:rFonts w:ascii="宋体" w:hAnsi="宋体"/>
        </w:rPr>
      </w:pPr>
      <w:r>
        <w:rPr>
          <w:rFonts w:hint="eastAsia" w:ascii="宋体" w:hAnsi="宋体"/>
        </w:rPr>
        <w:t>③质疑书副本数量不足的。</w:t>
      </w:r>
    </w:p>
    <w:p>
      <w:pPr>
        <w:spacing w:line="360" w:lineRule="auto"/>
        <w:ind w:right="12" w:firstLine="480"/>
        <w:rPr>
          <w:rFonts w:ascii="宋体" w:hAnsi="宋体"/>
        </w:rPr>
      </w:pPr>
      <w:r>
        <w:rPr>
          <w:rFonts w:hint="eastAsia" w:ascii="宋体" w:hAnsi="宋体"/>
        </w:rPr>
        <w:t>4.投诉</w:t>
      </w:r>
    </w:p>
    <w:p>
      <w:pPr>
        <w:spacing w:line="360" w:lineRule="auto"/>
        <w:ind w:right="12" w:firstLine="480"/>
        <w:rPr>
          <w:rFonts w:ascii="宋体" w:hAnsi="宋体"/>
        </w:rPr>
      </w:pPr>
      <w:r>
        <w:rPr>
          <w:rFonts w:hint="eastAsia" w:ascii="宋体" w:hAnsi="宋体"/>
        </w:rPr>
        <w:t>（1）响应人对采购人的答复不满意，或者采购人未在规定时间内答复的，可在答复期满后十五个工作日内按有关规定，向其同级监督机构投诉（投诉电话：</w:t>
      </w:r>
      <w:r>
        <w:rPr>
          <w:rFonts w:ascii="宋体" w:hAnsi="宋体"/>
        </w:rPr>
        <w:t>023-68252504</w:t>
      </w:r>
      <w:r>
        <w:rPr>
          <w:rFonts w:hint="eastAsia" w:ascii="宋体" w:hAnsi="宋体"/>
        </w:rPr>
        <w:t>，投诉邮箱：</w:t>
      </w:r>
      <w:r>
        <w:rPr>
          <w:rFonts w:cs="宋体"/>
        </w:rPr>
        <w:fldChar w:fldCharType="begin"/>
      </w:r>
      <w:r>
        <w:rPr>
          <w:rFonts w:cs="宋体"/>
        </w:rPr>
        <w:instrText xml:space="preserve"> HYPERLINK "mailto:jwjc@swu.edu.cn" </w:instrText>
      </w:r>
      <w:r>
        <w:rPr>
          <w:rFonts w:cs="宋体"/>
        </w:rPr>
        <w:fldChar w:fldCharType="separate"/>
      </w:r>
      <w:r>
        <w:rPr>
          <w:rFonts w:cs="宋体"/>
        </w:rPr>
        <w:t>jwjc@swu.edu.cn</w:t>
      </w:r>
      <w:r>
        <w:rPr>
          <w:rFonts w:cs="宋体"/>
        </w:rPr>
        <w:fldChar w:fldCharType="end"/>
      </w:r>
      <w:r>
        <w:rPr>
          <w:rFonts w:hint="eastAsia" w:ascii="宋体" w:hAnsi="宋体"/>
        </w:rPr>
        <w:t>）。</w:t>
      </w:r>
    </w:p>
    <w:p>
      <w:pPr>
        <w:spacing w:line="360" w:lineRule="auto"/>
        <w:ind w:right="12" w:firstLine="480"/>
        <w:rPr>
          <w:rFonts w:ascii="宋体" w:hAnsi="宋体"/>
        </w:rPr>
      </w:pPr>
      <w:r>
        <w:rPr>
          <w:rFonts w:hint="eastAsia" w:ascii="宋体" w:hAnsi="宋体"/>
        </w:rPr>
        <w:t>（2）在提出投诉时，应附送相关证明材料。投诉书及证明材料为外文的，应同时提供其中文译本；中文与外文意思不一致的，以中文为准。</w:t>
      </w:r>
    </w:p>
    <w:p>
      <w:pPr>
        <w:snapToGrid w:val="0"/>
        <w:spacing w:line="360" w:lineRule="auto"/>
        <w:ind w:firstLine="560" w:firstLineChars="200"/>
        <w:rPr>
          <w:rFonts w:ascii="宋体" w:hAnsi="宋体"/>
        </w:rPr>
      </w:pPr>
      <w:r>
        <w:rPr>
          <w:rFonts w:hint="eastAsia" w:ascii="宋体" w:hAnsi="宋体"/>
        </w:rPr>
        <w:t>（3）在确定受理投诉后，自受理投诉之日起三十个工作日内对投诉事项做出处理决定，并将投诉处理决定书送达投诉人、被投诉人和其他与投诉处理决定有利害关系的政府采购相关当事人，同时在西南大学校园网公告投诉处理决定书。</w:t>
      </w:r>
    </w:p>
    <w:p>
      <w:pPr>
        <w:snapToGrid w:val="0"/>
        <w:spacing w:line="360" w:lineRule="auto"/>
        <w:ind w:firstLine="560" w:firstLineChars="200"/>
        <w:rPr>
          <w:rFonts w:ascii="宋体" w:hAnsi="宋体"/>
        </w:rPr>
      </w:pPr>
      <w:r>
        <w:rPr>
          <w:rFonts w:hint="eastAsia" w:ascii="宋体" w:hAnsi="宋体"/>
        </w:rPr>
        <w:t>5.质疑回复时限和投诉处理时限不含调查取证或者组织质证的时间。</w:t>
      </w:r>
    </w:p>
    <w:p>
      <w:pPr>
        <w:spacing w:line="500" w:lineRule="exact"/>
        <w:rPr>
          <w:b/>
          <w:bCs/>
          <w:color w:val="000000"/>
          <w:sz w:val="30"/>
          <w:szCs w:val="30"/>
        </w:rPr>
      </w:pPr>
      <w:r>
        <w:rPr>
          <w:rFonts w:hint="eastAsia"/>
          <w:b/>
          <w:bCs/>
          <w:color w:val="000000"/>
          <w:sz w:val="30"/>
          <w:szCs w:val="30"/>
        </w:rPr>
        <w:t xml:space="preserve">              第三篇   询比项目需求</w:t>
      </w:r>
    </w:p>
    <w:p>
      <w:pPr>
        <w:spacing w:line="500" w:lineRule="exact"/>
        <w:jc w:val="center"/>
        <w:rPr>
          <w:b/>
          <w:bCs/>
          <w:color w:val="000000"/>
          <w:sz w:val="30"/>
          <w:szCs w:val="30"/>
        </w:rPr>
      </w:pPr>
    </w:p>
    <w:p>
      <w:pPr>
        <w:pStyle w:val="14"/>
        <w:spacing w:line="500" w:lineRule="exact"/>
        <w:ind w:left="538" w:firstLine="0"/>
        <w:rPr>
          <w:rStyle w:val="32"/>
          <w:rFonts w:cs="宋体"/>
          <w:b w:val="0"/>
        </w:rPr>
      </w:pPr>
      <w:r>
        <w:rPr>
          <w:rStyle w:val="32"/>
          <w:rFonts w:hint="eastAsia" w:cs="宋体"/>
          <w:b w:val="0"/>
        </w:rPr>
        <w:t>请详见附件7  《西南大学设备采购清单》</w:t>
      </w:r>
    </w:p>
    <w:bookmarkEnd w:id="39"/>
    <w:bookmarkEnd w:id="40"/>
    <w:bookmarkEnd w:id="41"/>
    <w:p>
      <w:pPr>
        <w:pStyle w:val="2"/>
        <w:spacing w:line="500" w:lineRule="exact"/>
        <w:rPr>
          <w:rFonts w:cs="Times New Roman"/>
          <w:b/>
          <w:bCs/>
          <w:color w:val="000000"/>
          <w:sz w:val="30"/>
          <w:szCs w:val="30"/>
        </w:rPr>
      </w:pPr>
      <w:bookmarkStart w:id="50" w:name="_Toc12789058"/>
      <w:bookmarkStart w:id="51" w:name="_Toc48314259"/>
      <w:bookmarkStart w:id="52" w:name="_Toc48314261"/>
      <w:bookmarkStart w:id="53" w:name="_Toc12789061"/>
      <w:r>
        <w:rPr>
          <w:rFonts w:hint="eastAsia"/>
          <w:b/>
          <w:bCs/>
          <w:color w:val="000000"/>
          <w:sz w:val="30"/>
          <w:szCs w:val="30"/>
        </w:rPr>
        <w:t xml:space="preserve">             第四篇     商务要求</w:t>
      </w:r>
      <w:bookmarkEnd w:id="50"/>
      <w:bookmarkEnd w:id="51"/>
      <w:bookmarkStart w:id="54" w:name="_Toc12789060"/>
    </w:p>
    <w:bookmarkEnd w:id="52"/>
    <w:bookmarkEnd w:id="53"/>
    <w:bookmarkEnd w:id="54"/>
    <w:p>
      <w:pPr>
        <w:pStyle w:val="14"/>
        <w:spacing w:line="500" w:lineRule="exact"/>
        <w:ind w:firstLine="538"/>
        <w:outlineLvl w:val="1"/>
        <w:rPr>
          <w:rStyle w:val="32"/>
          <w:b w:val="0"/>
          <w:bCs w:val="0"/>
        </w:rPr>
      </w:pPr>
      <w:bookmarkStart w:id="55" w:name="_Toc186362446"/>
      <w:bookmarkStart w:id="56" w:name="_Toc48314269"/>
      <w:bookmarkStart w:id="57" w:name="_Toc12789069"/>
      <w:r>
        <w:rPr>
          <w:rStyle w:val="32"/>
          <w:rFonts w:hint="eastAsia"/>
          <w:b w:val="0"/>
          <w:bCs w:val="0"/>
        </w:rPr>
        <w:t>一、交货时间及地点</w:t>
      </w:r>
      <w:bookmarkEnd w:id="55"/>
    </w:p>
    <w:p>
      <w:pPr>
        <w:pStyle w:val="14"/>
        <w:spacing w:line="500" w:lineRule="exact"/>
        <w:rPr>
          <w:rStyle w:val="32"/>
          <w:b w:val="0"/>
          <w:bCs w:val="0"/>
          <w:color w:val="FF0000"/>
        </w:rPr>
      </w:pPr>
      <w:r>
        <w:rPr>
          <w:rStyle w:val="32"/>
          <w:rFonts w:hint="eastAsia"/>
          <w:b w:val="0"/>
          <w:bCs w:val="0"/>
        </w:rPr>
        <w:t>交货时间：</w:t>
      </w:r>
      <w:bookmarkStart w:id="58" w:name="_Hlk153439860"/>
      <w:r>
        <w:rPr>
          <w:rStyle w:val="32"/>
          <w:rFonts w:hint="eastAsia"/>
          <w:b w:val="0"/>
          <w:bCs w:val="0"/>
        </w:rPr>
        <w:t>202</w:t>
      </w:r>
      <w:r>
        <w:rPr>
          <w:rStyle w:val="32"/>
          <w:b w:val="0"/>
          <w:bCs w:val="0"/>
        </w:rPr>
        <w:t>4</w:t>
      </w:r>
      <w:r>
        <w:rPr>
          <w:rStyle w:val="32"/>
          <w:rFonts w:hint="eastAsia"/>
          <w:b w:val="0"/>
          <w:bCs w:val="0"/>
        </w:rPr>
        <w:t>年1</w:t>
      </w:r>
      <w:bookmarkEnd w:id="58"/>
      <w:r>
        <w:rPr>
          <w:rStyle w:val="32"/>
          <w:rFonts w:hint="eastAsia"/>
          <w:b w:val="0"/>
          <w:bCs w:val="0"/>
        </w:rPr>
        <w:t>月5日</w:t>
      </w:r>
      <w:r>
        <w:rPr>
          <w:rStyle w:val="32"/>
          <w:rFonts w:hint="eastAsia"/>
          <w:b w:val="0"/>
          <w:bCs w:val="0"/>
          <w:color w:val="FF0000"/>
        </w:rPr>
        <w:t>内交货并安装调试完毕交付</w:t>
      </w:r>
      <w:r>
        <w:rPr>
          <w:rStyle w:val="32"/>
          <w:b w:val="0"/>
          <w:bCs w:val="0"/>
          <w:color w:val="FF0000"/>
        </w:rPr>
        <w:t>使用</w:t>
      </w:r>
      <w:r>
        <w:rPr>
          <w:rStyle w:val="32"/>
          <w:rFonts w:hint="eastAsia"/>
          <w:b w:val="0"/>
          <w:bCs w:val="0"/>
          <w:color w:val="FF0000"/>
        </w:rPr>
        <w:t>。</w:t>
      </w:r>
    </w:p>
    <w:p>
      <w:pPr>
        <w:pStyle w:val="14"/>
        <w:spacing w:line="500" w:lineRule="exact"/>
        <w:ind w:firstLine="538"/>
        <w:rPr>
          <w:rStyle w:val="32"/>
          <w:b w:val="0"/>
          <w:bCs w:val="0"/>
        </w:rPr>
      </w:pPr>
      <w:r>
        <w:rPr>
          <w:rStyle w:val="32"/>
          <w:rFonts w:hint="eastAsia"/>
          <w:b w:val="0"/>
          <w:bCs w:val="0"/>
        </w:rPr>
        <w:t>交货地点：西南大学档案馆</w:t>
      </w:r>
    </w:p>
    <w:p>
      <w:pPr>
        <w:pStyle w:val="14"/>
        <w:spacing w:line="500" w:lineRule="exact"/>
        <w:ind w:firstLine="538"/>
        <w:outlineLvl w:val="1"/>
        <w:rPr>
          <w:rStyle w:val="32"/>
          <w:b w:val="0"/>
          <w:bCs w:val="0"/>
        </w:rPr>
      </w:pPr>
      <w:bookmarkStart w:id="59" w:name="_Toc186362447"/>
      <w:bookmarkStart w:id="60" w:name="_Toc12789062"/>
      <w:bookmarkStart w:id="61" w:name="_Toc48314262"/>
      <w:r>
        <w:rPr>
          <w:rStyle w:val="32"/>
          <w:rFonts w:hint="eastAsia"/>
          <w:b w:val="0"/>
          <w:bCs w:val="0"/>
        </w:rPr>
        <w:t>二、交货、运输及包装方式</w:t>
      </w:r>
      <w:bookmarkEnd w:id="59"/>
      <w:bookmarkEnd w:id="60"/>
      <w:bookmarkEnd w:id="61"/>
    </w:p>
    <w:p>
      <w:pPr>
        <w:pStyle w:val="14"/>
        <w:spacing w:line="500" w:lineRule="exact"/>
        <w:ind w:firstLine="538"/>
        <w:rPr>
          <w:rStyle w:val="32"/>
          <w:b w:val="0"/>
          <w:bCs w:val="0"/>
        </w:rPr>
      </w:pPr>
      <w:r>
        <w:rPr>
          <w:rStyle w:val="32"/>
          <w:rFonts w:hint="eastAsia"/>
          <w:b w:val="0"/>
          <w:bCs w:val="0"/>
        </w:rPr>
        <w:t>免费送货上门、原厂包装</w:t>
      </w:r>
    </w:p>
    <w:p>
      <w:pPr>
        <w:pStyle w:val="14"/>
        <w:spacing w:line="500" w:lineRule="exact"/>
        <w:ind w:firstLine="538"/>
        <w:outlineLvl w:val="1"/>
        <w:rPr>
          <w:rStyle w:val="32"/>
          <w:b w:val="0"/>
          <w:bCs w:val="0"/>
        </w:rPr>
      </w:pPr>
      <w:bookmarkStart w:id="62" w:name="_Toc186362448"/>
      <w:r>
        <w:rPr>
          <w:rStyle w:val="32"/>
          <w:rFonts w:hint="eastAsia"/>
          <w:b w:val="0"/>
          <w:bCs w:val="0"/>
        </w:rPr>
        <w:t>三、货物数量的验收</w:t>
      </w:r>
      <w:bookmarkEnd w:id="62"/>
    </w:p>
    <w:p>
      <w:pPr>
        <w:pStyle w:val="14"/>
        <w:spacing w:line="500" w:lineRule="exact"/>
        <w:ind w:firstLine="538"/>
        <w:rPr>
          <w:rStyle w:val="32"/>
          <w:b w:val="0"/>
          <w:bCs w:val="0"/>
        </w:rPr>
      </w:pPr>
      <w:r>
        <w:rPr>
          <w:rStyle w:val="32"/>
          <w:rFonts w:hint="eastAsia"/>
          <w:b w:val="0"/>
          <w:bCs w:val="0"/>
        </w:rPr>
        <w:t>货物到达现场后，由供方负责开箱，供需双方人员在场，共同清点、检查外观，作出开箱记录，进行数量验收，供应商应提供完备的技术资料、装箱单和合格证。</w:t>
      </w:r>
    </w:p>
    <w:p>
      <w:pPr>
        <w:pStyle w:val="14"/>
        <w:spacing w:line="500" w:lineRule="exact"/>
        <w:ind w:firstLine="538"/>
        <w:outlineLvl w:val="1"/>
        <w:rPr>
          <w:rStyle w:val="32"/>
          <w:b w:val="0"/>
          <w:bCs w:val="0"/>
        </w:rPr>
      </w:pPr>
      <w:bookmarkStart w:id="63" w:name="_Toc48314264"/>
      <w:bookmarkStart w:id="64" w:name="_Toc12789064"/>
      <w:bookmarkStart w:id="65" w:name="_Toc186362449"/>
      <w:r>
        <w:rPr>
          <w:rStyle w:val="32"/>
          <w:rFonts w:hint="eastAsia"/>
          <w:b w:val="0"/>
          <w:bCs w:val="0"/>
        </w:rPr>
        <w:t>四、安装调试</w:t>
      </w:r>
      <w:bookmarkEnd w:id="63"/>
      <w:bookmarkEnd w:id="64"/>
      <w:r>
        <w:rPr>
          <w:rFonts w:hint="eastAsia"/>
          <w:b w:val="0"/>
          <w:bCs w:val="0"/>
        </w:rPr>
        <w:t>及质量验收</w:t>
      </w:r>
      <w:bookmarkEnd w:id="65"/>
    </w:p>
    <w:p>
      <w:pPr>
        <w:pStyle w:val="14"/>
        <w:spacing w:before="240" w:line="500" w:lineRule="exact"/>
        <w:ind w:firstLine="538"/>
        <w:rPr>
          <w:rStyle w:val="32"/>
          <w:b w:val="0"/>
          <w:bCs w:val="0"/>
        </w:rPr>
      </w:pPr>
      <w:r>
        <w:rPr>
          <w:rStyle w:val="32"/>
          <w:rFonts w:hint="eastAsia"/>
          <w:b w:val="0"/>
          <w:bCs w:val="0"/>
        </w:rPr>
        <w:t>供方派员到现场免费安装及调试。</w:t>
      </w:r>
      <w:r>
        <w:rPr>
          <w:rFonts w:hint="eastAsia"/>
          <w:b w:val="0"/>
          <w:bCs w:val="0"/>
        </w:rPr>
        <w:t>安装调试完毕试用一段时间后，由供方提出书面验收申请，</w:t>
      </w:r>
      <w:r>
        <w:rPr>
          <w:rStyle w:val="32"/>
          <w:rFonts w:hint="eastAsia"/>
          <w:b w:val="0"/>
          <w:bCs w:val="0"/>
        </w:rPr>
        <w:t>需方按照国家及行业相关标准以及合同规定进行最终验收。</w:t>
      </w:r>
    </w:p>
    <w:p>
      <w:pPr>
        <w:pStyle w:val="14"/>
        <w:spacing w:line="500" w:lineRule="exact"/>
        <w:ind w:firstLine="538"/>
        <w:outlineLvl w:val="1"/>
        <w:rPr>
          <w:rStyle w:val="32"/>
          <w:b w:val="0"/>
          <w:bCs w:val="0"/>
        </w:rPr>
      </w:pPr>
      <w:bookmarkStart w:id="66" w:name="_Toc186362450"/>
      <w:r>
        <w:rPr>
          <w:rStyle w:val="32"/>
          <w:rFonts w:hint="eastAsia"/>
          <w:b w:val="0"/>
          <w:bCs w:val="0"/>
        </w:rPr>
        <w:t>五、人员培训</w:t>
      </w:r>
      <w:bookmarkEnd w:id="66"/>
    </w:p>
    <w:p>
      <w:pPr>
        <w:pStyle w:val="14"/>
        <w:spacing w:line="500" w:lineRule="exact"/>
        <w:ind w:firstLine="538"/>
        <w:rPr>
          <w:rStyle w:val="32"/>
          <w:b w:val="0"/>
          <w:bCs w:val="0"/>
        </w:rPr>
      </w:pPr>
      <w:r>
        <w:rPr>
          <w:rStyle w:val="32"/>
          <w:rFonts w:hint="eastAsia"/>
          <w:b w:val="0"/>
          <w:bCs w:val="0"/>
        </w:rPr>
        <w:t>成交供应商必须提供设备的现场免费培训，培训技术员人数应在2人以上。</w:t>
      </w:r>
    </w:p>
    <w:p>
      <w:pPr>
        <w:pStyle w:val="14"/>
        <w:spacing w:line="500" w:lineRule="exact"/>
        <w:ind w:firstLine="538"/>
        <w:outlineLvl w:val="1"/>
        <w:rPr>
          <w:rStyle w:val="32"/>
          <w:b w:val="0"/>
          <w:bCs w:val="0"/>
        </w:rPr>
      </w:pPr>
      <w:bookmarkStart w:id="67" w:name="_Toc186362451"/>
      <w:r>
        <w:rPr>
          <w:rStyle w:val="32"/>
          <w:rFonts w:hint="eastAsia"/>
          <w:b w:val="0"/>
          <w:bCs w:val="0"/>
        </w:rPr>
        <w:t>六、保质期限</w:t>
      </w:r>
      <w:bookmarkEnd w:id="67"/>
    </w:p>
    <w:p>
      <w:pPr>
        <w:pStyle w:val="14"/>
        <w:spacing w:line="500" w:lineRule="exact"/>
        <w:ind w:firstLine="538"/>
        <w:rPr>
          <w:rStyle w:val="32"/>
          <w:b w:val="0"/>
          <w:bCs w:val="0"/>
        </w:rPr>
      </w:pPr>
      <w:r>
        <w:rPr>
          <w:rStyle w:val="32"/>
          <w:rFonts w:hint="eastAsia"/>
          <w:b w:val="0"/>
          <w:bCs w:val="0"/>
        </w:rPr>
        <w:t>本询比文件采购清单上有质保期限的，从其规定；未规定质保期限的，质保期限为产品安装、调试并验收合格后5年。</w:t>
      </w:r>
    </w:p>
    <w:p>
      <w:pPr>
        <w:pStyle w:val="14"/>
        <w:spacing w:line="500" w:lineRule="exact"/>
        <w:ind w:firstLine="538"/>
        <w:outlineLvl w:val="1"/>
        <w:rPr>
          <w:rStyle w:val="32"/>
          <w:b w:val="0"/>
          <w:bCs w:val="0"/>
        </w:rPr>
      </w:pPr>
      <w:bookmarkStart w:id="68" w:name="_Toc186362452"/>
      <w:bookmarkStart w:id="69" w:name="_Toc12789067"/>
      <w:bookmarkStart w:id="70" w:name="_Toc48314267"/>
      <w:r>
        <w:rPr>
          <w:rStyle w:val="32"/>
          <w:rFonts w:hint="eastAsia"/>
          <w:b w:val="0"/>
          <w:bCs w:val="0"/>
        </w:rPr>
        <w:t>七、售后服务</w:t>
      </w:r>
      <w:bookmarkEnd w:id="68"/>
      <w:bookmarkEnd w:id="69"/>
      <w:bookmarkEnd w:id="70"/>
    </w:p>
    <w:p>
      <w:pPr>
        <w:pStyle w:val="14"/>
        <w:spacing w:line="500" w:lineRule="exact"/>
        <w:ind w:firstLine="538"/>
        <w:rPr>
          <w:rStyle w:val="32"/>
          <w:b w:val="0"/>
          <w:bCs w:val="0"/>
        </w:rPr>
      </w:pPr>
      <w:r>
        <w:rPr>
          <w:rStyle w:val="32"/>
          <w:rFonts w:hint="eastAsia"/>
          <w:b w:val="0"/>
          <w:bCs w:val="0"/>
        </w:rPr>
        <w:t>1. 质保期内服务：成交供应商接到使用方产品出现问题的通知后，</w:t>
      </w:r>
      <w:r>
        <w:rPr>
          <w:rStyle w:val="32"/>
          <w:b w:val="0"/>
          <w:bCs w:val="0"/>
        </w:rPr>
        <w:t>4</w:t>
      </w:r>
      <w:r>
        <w:rPr>
          <w:rStyle w:val="32"/>
          <w:rFonts w:hint="eastAsia"/>
          <w:b w:val="0"/>
          <w:bCs w:val="0"/>
        </w:rPr>
        <w:t>小时内到达产品使用现场，进行处理。除不可抗力和使用方责任外，费用全部由供应商承担。质保期内产品质量经权威机构鉴定不符合质量要求的，按合同约定承担违约赔偿责任。</w:t>
      </w:r>
    </w:p>
    <w:p>
      <w:pPr>
        <w:pStyle w:val="14"/>
        <w:spacing w:line="500" w:lineRule="exact"/>
        <w:ind w:firstLine="538"/>
        <w:rPr>
          <w:rStyle w:val="32"/>
          <w:b w:val="0"/>
          <w:bCs w:val="0"/>
        </w:rPr>
      </w:pPr>
      <w:r>
        <w:rPr>
          <w:rStyle w:val="32"/>
          <w:rFonts w:hint="eastAsia"/>
          <w:b w:val="0"/>
          <w:bCs w:val="0"/>
        </w:rPr>
        <w:t>2. 质保期外服务：成交供应商接到使用方产品出现问题的通知后，应及时到达产品现场，进行处理，终身免费上门维修，涉及配件更换只收配件成本费。</w:t>
      </w:r>
    </w:p>
    <w:p>
      <w:pPr>
        <w:pStyle w:val="14"/>
        <w:spacing w:line="500" w:lineRule="exact"/>
        <w:ind w:firstLine="538"/>
        <w:outlineLvl w:val="1"/>
        <w:rPr>
          <w:rStyle w:val="32"/>
          <w:b w:val="0"/>
          <w:bCs w:val="0"/>
        </w:rPr>
      </w:pPr>
      <w:bookmarkStart w:id="71" w:name="_Toc186362453"/>
      <w:r>
        <w:rPr>
          <w:rStyle w:val="32"/>
          <w:rFonts w:hint="eastAsia"/>
          <w:b w:val="0"/>
          <w:bCs w:val="0"/>
        </w:rPr>
        <w:t>八、付款方式</w:t>
      </w:r>
      <w:bookmarkEnd w:id="71"/>
    </w:p>
    <w:p>
      <w:pPr>
        <w:pStyle w:val="14"/>
        <w:spacing w:line="500" w:lineRule="exact"/>
        <w:ind w:firstLine="538"/>
        <w:outlineLvl w:val="1"/>
        <w:rPr>
          <w:rFonts w:ascii="Times New Roman"/>
          <w:b w:val="0"/>
          <w:color w:val="000000"/>
        </w:rPr>
      </w:pPr>
      <w:bookmarkStart w:id="72" w:name="_Toc186362454"/>
      <w:r>
        <w:rPr>
          <w:rFonts w:hint="eastAsia" w:ascii="Times New Roman"/>
          <w:b w:val="0"/>
          <w:color w:val="000000"/>
        </w:rPr>
        <w:t>1．中标人按采购合同交货并完成整改，经验收合格后采购人出具项目验收报告；</w:t>
      </w:r>
    </w:p>
    <w:p>
      <w:pPr>
        <w:pStyle w:val="14"/>
        <w:spacing w:line="500" w:lineRule="exact"/>
        <w:ind w:firstLine="538"/>
        <w:outlineLvl w:val="1"/>
        <w:rPr>
          <w:rFonts w:ascii="Times New Roman"/>
          <w:b w:val="0"/>
          <w:color w:val="000000"/>
        </w:rPr>
      </w:pPr>
      <w:r>
        <w:rPr>
          <w:rFonts w:hint="eastAsia" w:ascii="Times New Roman"/>
          <w:b w:val="0"/>
          <w:color w:val="000000"/>
        </w:rPr>
        <w:t>2．中标人向采购人开具发票，采购人2024年1月1</w:t>
      </w:r>
      <w:r>
        <w:rPr>
          <w:rFonts w:ascii="Times New Roman"/>
          <w:b w:val="0"/>
          <w:color w:val="000000"/>
        </w:rPr>
        <w:t>3</w:t>
      </w:r>
      <w:r>
        <w:rPr>
          <w:rFonts w:hint="eastAsia" w:ascii="Times New Roman"/>
          <w:b w:val="0"/>
          <w:color w:val="000000"/>
        </w:rPr>
        <w:t>日前以转账方式向中标人支付合同金额的95%，余款5%，在货物使用满一年经确认无遗留问题后采购人无息支付。</w:t>
      </w:r>
    </w:p>
    <w:p>
      <w:pPr>
        <w:pStyle w:val="14"/>
        <w:spacing w:line="500" w:lineRule="exact"/>
        <w:ind w:firstLine="538"/>
        <w:outlineLvl w:val="1"/>
        <w:rPr>
          <w:rFonts w:ascii="Times New Roman"/>
          <w:b w:val="0"/>
          <w:color w:val="000000"/>
        </w:rPr>
      </w:pPr>
      <w:r>
        <w:rPr>
          <w:rFonts w:hint="eastAsia" w:ascii="Times New Roman"/>
          <w:b w:val="0"/>
          <w:color w:val="000000"/>
        </w:rPr>
        <w:t>3.需方每次向供方付款前，供方应该先行向需方提供等额正式发票，货款及履约保证金均以银行转账方式支付。</w:t>
      </w:r>
    </w:p>
    <w:p>
      <w:pPr>
        <w:pStyle w:val="14"/>
        <w:spacing w:line="500" w:lineRule="exact"/>
        <w:ind w:firstLine="538"/>
        <w:outlineLvl w:val="1"/>
        <w:rPr>
          <w:rStyle w:val="32"/>
          <w:b w:val="0"/>
          <w:bCs w:val="0"/>
        </w:rPr>
      </w:pPr>
      <w:r>
        <w:rPr>
          <w:rStyle w:val="32"/>
          <w:rFonts w:hint="eastAsia"/>
          <w:b w:val="0"/>
          <w:bCs w:val="0"/>
        </w:rPr>
        <w:t>九、合同签订</w:t>
      </w:r>
      <w:bookmarkEnd w:id="72"/>
    </w:p>
    <w:p>
      <w:pPr>
        <w:pStyle w:val="14"/>
        <w:spacing w:line="500" w:lineRule="exact"/>
        <w:ind w:firstLine="538"/>
        <w:outlineLvl w:val="1"/>
        <w:rPr>
          <w:rStyle w:val="32"/>
          <w:b w:val="0"/>
          <w:bCs w:val="0"/>
        </w:rPr>
      </w:pPr>
      <w:bookmarkStart w:id="73" w:name="_Toc186362455"/>
      <w:r>
        <w:rPr>
          <w:rStyle w:val="32"/>
          <w:rFonts w:hint="eastAsia"/>
          <w:b w:val="0"/>
          <w:bCs w:val="0"/>
        </w:rPr>
        <w:t>1.签约</w:t>
      </w:r>
    </w:p>
    <w:p>
      <w:pPr>
        <w:pStyle w:val="14"/>
        <w:spacing w:line="500" w:lineRule="exact"/>
        <w:ind w:firstLine="538"/>
        <w:outlineLvl w:val="1"/>
        <w:rPr>
          <w:rStyle w:val="32"/>
          <w:b w:val="0"/>
          <w:bCs w:val="0"/>
        </w:rPr>
      </w:pPr>
      <w:r>
        <w:rPr>
          <w:rStyle w:val="32"/>
          <w:rFonts w:hint="eastAsia"/>
          <w:b w:val="0"/>
          <w:bCs w:val="0"/>
        </w:rPr>
        <w:t>（1）成交供应商应在成交公告发布后，且在质疑期内未收到质疑，及时与采购单位订采购合同。（先由成交供应商与用户草拟合同再交由设备处李老师（68366150）审核）。</w:t>
      </w:r>
    </w:p>
    <w:p>
      <w:pPr>
        <w:pStyle w:val="14"/>
        <w:spacing w:line="500" w:lineRule="exact"/>
        <w:ind w:firstLine="538"/>
        <w:outlineLvl w:val="1"/>
        <w:rPr>
          <w:rStyle w:val="32"/>
          <w:b w:val="0"/>
          <w:bCs w:val="0"/>
        </w:rPr>
      </w:pPr>
      <w:r>
        <w:rPr>
          <w:rStyle w:val="32"/>
          <w:rFonts w:hint="eastAsia"/>
          <w:b w:val="0"/>
          <w:bCs w:val="0"/>
        </w:rPr>
        <w:t>（2）磋商文件、成交供应商的响应文件及澄清文件等，均为签订合同的依据，所签订的合同不得对磋商文件和成交供应商的响应文件作实质性修改。</w:t>
      </w:r>
    </w:p>
    <w:p>
      <w:pPr>
        <w:pStyle w:val="14"/>
        <w:spacing w:line="500" w:lineRule="exact"/>
        <w:ind w:firstLine="538"/>
        <w:outlineLvl w:val="1"/>
        <w:rPr>
          <w:rStyle w:val="32"/>
          <w:b w:val="0"/>
          <w:bCs w:val="0"/>
        </w:rPr>
      </w:pPr>
      <w:r>
        <w:rPr>
          <w:rStyle w:val="32"/>
          <w:rFonts w:hint="eastAsia"/>
          <w:b w:val="0"/>
          <w:bCs w:val="0"/>
        </w:rPr>
        <w:t>十、付款单位</w:t>
      </w:r>
      <w:bookmarkEnd w:id="73"/>
    </w:p>
    <w:p>
      <w:pPr>
        <w:pStyle w:val="14"/>
        <w:spacing w:line="500" w:lineRule="exact"/>
        <w:ind w:firstLine="538"/>
        <w:rPr>
          <w:rStyle w:val="32"/>
          <w:b w:val="0"/>
          <w:bCs w:val="0"/>
        </w:rPr>
      </w:pPr>
      <w:r>
        <w:rPr>
          <w:rStyle w:val="32"/>
          <w:rFonts w:hint="eastAsia"/>
          <w:b w:val="0"/>
          <w:bCs w:val="0"/>
        </w:rPr>
        <w:t>合同付款单位为西南大学。</w:t>
      </w:r>
    </w:p>
    <w:p>
      <w:pPr>
        <w:pStyle w:val="14"/>
        <w:spacing w:line="500" w:lineRule="exact"/>
        <w:ind w:firstLine="538"/>
        <w:outlineLvl w:val="1"/>
        <w:rPr>
          <w:rStyle w:val="32"/>
          <w:b w:val="0"/>
          <w:bCs w:val="0"/>
        </w:rPr>
      </w:pPr>
      <w:bookmarkStart w:id="74" w:name="_Toc48314271"/>
      <w:bookmarkStart w:id="75" w:name="_Toc12789071"/>
      <w:bookmarkStart w:id="76" w:name="_Toc186362456"/>
      <w:r>
        <w:rPr>
          <w:rStyle w:val="32"/>
          <w:rFonts w:hint="eastAsia"/>
          <w:b w:val="0"/>
          <w:bCs w:val="0"/>
        </w:rPr>
        <w:t>十一、其它</w:t>
      </w:r>
      <w:bookmarkEnd w:id="74"/>
      <w:bookmarkEnd w:id="75"/>
      <w:bookmarkEnd w:id="76"/>
    </w:p>
    <w:p>
      <w:pPr>
        <w:pStyle w:val="14"/>
        <w:spacing w:line="500" w:lineRule="exact"/>
        <w:ind w:firstLine="538"/>
        <w:rPr>
          <w:rStyle w:val="32"/>
          <w:b w:val="0"/>
          <w:bCs w:val="0"/>
        </w:rPr>
      </w:pPr>
      <w:r>
        <w:rPr>
          <w:rStyle w:val="32"/>
          <w:rFonts w:hint="eastAsia"/>
          <w:b w:val="0"/>
          <w:bCs w:val="0"/>
        </w:rPr>
        <w:t>供货方须保证所供产品为正品，且能享受联保服务。</w:t>
      </w:r>
    </w:p>
    <w:p>
      <w:pPr>
        <w:pStyle w:val="14"/>
        <w:spacing w:line="520" w:lineRule="exact"/>
        <w:ind w:firstLine="570"/>
        <w:rPr>
          <w:rStyle w:val="32"/>
          <w:rFonts w:hAnsi="宋体" w:cs="Courier New"/>
          <w:color w:val="FF0000"/>
          <w:sz w:val="24"/>
        </w:rPr>
      </w:pPr>
    </w:p>
    <w:bookmarkEnd w:id="56"/>
    <w:bookmarkEnd w:id="57"/>
    <w:p>
      <w:pPr>
        <w:pStyle w:val="2"/>
        <w:jc w:val="center"/>
        <w:rPr>
          <w:rFonts w:cs="Times New Roman"/>
          <w:b/>
          <w:bCs/>
          <w:color w:val="000000"/>
          <w:sz w:val="44"/>
          <w:szCs w:val="44"/>
        </w:rPr>
      </w:pPr>
      <w:bookmarkStart w:id="77" w:name="_Toc12789059"/>
      <w:bookmarkStart w:id="78" w:name="_Toc11641055"/>
      <w:bookmarkStart w:id="79" w:name="_Toc48314272"/>
      <w:r>
        <w:rPr>
          <w:rFonts w:hint="eastAsia"/>
          <w:b/>
          <w:bCs/>
          <w:color w:val="000000"/>
          <w:sz w:val="30"/>
          <w:szCs w:val="30"/>
        </w:rPr>
        <w:t>第五篇</w:t>
      </w:r>
      <w:bookmarkEnd w:id="77"/>
      <w:bookmarkEnd w:id="78"/>
      <w:r>
        <w:rPr>
          <w:rFonts w:hint="eastAsia"/>
          <w:b/>
          <w:bCs/>
          <w:color w:val="000000"/>
          <w:sz w:val="30"/>
          <w:szCs w:val="30"/>
        </w:rPr>
        <w:t>合同主要条款及合同格式</w:t>
      </w:r>
      <w:bookmarkEnd w:id="79"/>
    </w:p>
    <w:p>
      <w:pPr>
        <w:snapToGrid w:val="0"/>
        <w:spacing w:line="560" w:lineRule="exact"/>
        <w:ind w:firstLine="589"/>
        <w:outlineLvl w:val="0"/>
        <w:rPr>
          <w:b/>
          <w:bCs/>
          <w:sz w:val="30"/>
          <w:szCs w:val="30"/>
        </w:rPr>
      </w:pPr>
      <w:r>
        <w:rPr>
          <w:rFonts w:hint="eastAsia" w:cs="宋体"/>
          <w:b/>
          <w:bCs/>
          <w:sz w:val="30"/>
          <w:szCs w:val="30"/>
        </w:rPr>
        <w:t>一、定义</w:t>
      </w:r>
    </w:p>
    <w:p>
      <w:pPr>
        <w:snapToGrid w:val="0"/>
        <w:spacing w:line="560" w:lineRule="exact"/>
        <w:ind w:firstLine="573"/>
      </w:pPr>
      <w:r>
        <w:t>1</w:t>
      </w:r>
      <w:r>
        <w:rPr>
          <w:rFonts w:hint="eastAsia" w:cs="宋体"/>
        </w:rPr>
        <w:t>．需方是指通过询比采购，接受合同货物及服务的</w:t>
      </w:r>
      <w:r>
        <w:rPr>
          <w:rFonts w:hint="eastAsia" w:cs="宋体"/>
          <w:u w:val="single"/>
        </w:rPr>
        <w:t>西南大学</w:t>
      </w:r>
      <w:r>
        <w:rPr>
          <w:rFonts w:hint="eastAsia" w:cs="宋体"/>
        </w:rPr>
        <w:t>。</w:t>
      </w:r>
    </w:p>
    <w:p>
      <w:pPr>
        <w:snapToGrid w:val="0"/>
        <w:spacing w:line="560" w:lineRule="exact"/>
        <w:ind w:firstLine="573"/>
      </w:pPr>
      <w:r>
        <w:t>2</w:t>
      </w:r>
      <w:r>
        <w:rPr>
          <w:rFonts w:hint="eastAsia" w:cs="宋体"/>
        </w:rPr>
        <w:t>．供方是指成交后提供合同货物和服务的法人、其他组织或自然人。</w:t>
      </w:r>
    </w:p>
    <w:p>
      <w:pPr>
        <w:snapToGrid w:val="0"/>
        <w:spacing w:line="560" w:lineRule="exact"/>
        <w:ind w:firstLine="570"/>
      </w:pPr>
      <w:r>
        <w:t>3</w:t>
      </w:r>
      <w:r>
        <w:rPr>
          <w:rFonts w:hint="eastAsia" w:cs="宋体"/>
        </w:rPr>
        <w:t>．合同是指由需方和成交供应商按照询比文件、补充文件和询比响应文件以及书面承诺的实质性内容，规范成要约和承诺，通过协商一致达成的书面协议。</w:t>
      </w:r>
    </w:p>
    <w:p>
      <w:pPr>
        <w:snapToGrid w:val="0"/>
        <w:spacing w:line="560" w:lineRule="exact"/>
        <w:ind w:firstLine="570"/>
      </w:pPr>
      <w:r>
        <w:t>4</w:t>
      </w:r>
      <w:r>
        <w:rPr>
          <w:rFonts w:hint="eastAsia" w:cs="宋体"/>
        </w:rPr>
        <w:t>．合同价格系指根据合同规定，在供方全面正确地履行合同义务时需方应支付给供方的款项。</w:t>
      </w:r>
    </w:p>
    <w:p>
      <w:pPr>
        <w:snapToGrid w:val="0"/>
        <w:spacing w:line="560" w:lineRule="exact"/>
        <w:ind w:firstLine="570"/>
      </w:pPr>
      <w:r>
        <w:t>5</w:t>
      </w:r>
      <w:r>
        <w:rPr>
          <w:rFonts w:hint="eastAsia" w:cs="宋体"/>
        </w:rPr>
        <w:t>．技术资料是指合同货物及其相关的设计、开发调试、安装部置、检验、验收等文件（包括图纸、各种文字说明、标准）。</w:t>
      </w:r>
    </w:p>
    <w:p>
      <w:pPr>
        <w:snapToGrid w:val="0"/>
        <w:spacing w:line="560" w:lineRule="exact"/>
        <w:ind w:firstLine="570"/>
      </w:pPr>
      <w:r>
        <w:t>6</w:t>
      </w:r>
      <w:r>
        <w:rPr>
          <w:rFonts w:hint="eastAsia" w:cs="宋体"/>
        </w:rPr>
        <w:t>．合同货物是指供方根据合同所需供应的软件、硬件产品。</w:t>
      </w:r>
    </w:p>
    <w:p>
      <w:pPr>
        <w:snapToGrid w:val="0"/>
        <w:spacing w:line="560" w:lineRule="exact"/>
        <w:ind w:firstLine="570"/>
        <w:outlineLvl w:val="0"/>
        <w:rPr>
          <w:b/>
          <w:bCs/>
          <w:sz w:val="30"/>
          <w:szCs w:val="30"/>
        </w:rPr>
      </w:pPr>
      <w:r>
        <w:rPr>
          <w:rFonts w:hint="eastAsia" w:cs="宋体"/>
          <w:b/>
          <w:bCs/>
          <w:sz w:val="30"/>
          <w:szCs w:val="30"/>
        </w:rPr>
        <w:t>二、合同标的</w:t>
      </w:r>
    </w:p>
    <w:p>
      <w:pPr>
        <w:snapToGrid w:val="0"/>
        <w:spacing w:line="560" w:lineRule="exact"/>
        <w:ind w:firstLine="570"/>
      </w:pPr>
      <w:r>
        <w:t>1</w:t>
      </w:r>
      <w:r>
        <w:rPr>
          <w:rFonts w:hint="eastAsia" w:cs="宋体"/>
        </w:rPr>
        <w:t>．合同标的包括以下内容：</w:t>
      </w:r>
    </w:p>
    <w:p>
      <w:pPr>
        <w:snapToGrid w:val="0"/>
        <w:spacing w:line="560" w:lineRule="exact"/>
        <w:ind w:firstLine="570"/>
      </w:pPr>
      <w:r>
        <w:rPr>
          <w:rFonts w:hint="eastAsia" w:cs="宋体"/>
        </w:rPr>
        <w:t>货物名称：</w:t>
      </w:r>
    </w:p>
    <w:p>
      <w:pPr>
        <w:snapToGrid w:val="0"/>
        <w:spacing w:line="560" w:lineRule="exact"/>
        <w:ind w:firstLine="570"/>
      </w:pPr>
      <w:r>
        <w:rPr>
          <w:rFonts w:hint="eastAsia" w:cs="宋体"/>
        </w:rPr>
        <w:t>货物规格（型号）：</w:t>
      </w:r>
    </w:p>
    <w:p>
      <w:pPr>
        <w:snapToGrid w:val="0"/>
        <w:spacing w:line="560" w:lineRule="exact"/>
        <w:ind w:firstLine="570"/>
      </w:pPr>
      <w:r>
        <w:rPr>
          <w:rFonts w:hint="eastAsia" w:cs="宋体"/>
        </w:rPr>
        <w:t>数量：</w:t>
      </w:r>
    </w:p>
    <w:p>
      <w:pPr>
        <w:snapToGrid w:val="0"/>
        <w:spacing w:line="560" w:lineRule="exact"/>
        <w:ind w:firstLine="570"/>
      </w:pPr>
      <w:r>
        <w:rPr>
          <w:rFonts w:hint="eastAsia" w:cs="宋体"/>
        </w:rPr>
        <w:t>产地：</w:t>
      </w:r>
    </w:p>
    <w:p>
      <w:pPr>
        <w:snapToGrid w:val="0"/>
        <w:spacing w:line="560" w:lineRule="exact"/>
        <w:ind w:firstLine="570"/>
      </w:pPr>
      <w:r>
        <w:t>2</w:t>
      </w:r>
      <w:r>
        <w:rPr>
          <w:rFonts w:hint="eastAsia" w:cs="宋体"/>
        </w:rPr>
        <w:t>．凡供方供应的货物应是合格的、无瑕疵的，达到询比文件要求的。</w:t>
      </w:r>
    </w:p>
    <w:p>
      <w:pPr>
        <w:snapToGrid w:val="0"/>
        <w:spacing w:line="560" w:lineRule="exact"/>
        <w:ind w:firstLine="570"/>
      </w:pPr>
      <w:r>
        <w:t>3</w:t>
      </w:r>
      <w:r>
        <w:rPr>
          <w:rFonts w:hint="eastAsia" w:cs="宋体"/>
        </w:rPr>
        <w:t>．货物的产品质量、规格指标应满足询比文件的要求。</w:t>
      </w:r>
    </w:p>
    <w:p>
      <w:pPr>
        <w:snapToGrid w:val="0"/>
        <w:spacing w:line="560" w:lineRule="exact"/>
        <w:ind w:firstLine="570"/>
      </w:pPr>
      <w:r>
        <w:t>4</w:t>
      </w:r>
      <w:r>
        <w:rPr>
          <w:rFonts w:hint="eastAsia" w:cs="宋体"/>
        </w:rPr>
        <w:t>．供方提供合同货物的供货范围按询比文件要求。</w:t>
      </w:r>
    </w:p>
    <w:p>
      <w:pPr>
        <w:snapToGrid w:val="0"/>
        <w:spacing w:line="560" w:lineRule="exact"/>
        <w:ind w:firstLine="570"/>
        <w:outlineLvl w:val="0"/>
        <w:rPr>
          <w:b/>
          <w:bCs/>
          <w:sz w:val="30"/>
          <w:szCs w:val="30"/>
        </w:rPr>
      </w:pPr>
      <w:r>
        <w:rPr>
          <w:rFonts w:hint="eastAsia" w:cs="宋体"/>
          <w:b/>
          <w:bCs/>
          <w:sz w:val="30"/>
          <w:szCs w:val="30"/>
        </w:rPr>
        <w:t>三、合同价格</w:t>
      </w:r>
    </w:p>
    <w:p>
      <w:pPr>
        <w:snapToGrid w:val="0"/>
        <w:spacing w:line="560" w:lineRule="exact"/>
        <w:ind w:firstLine="560"/>
      </w:pPr>
      <w:r>
        <w:t>1</w:t>
      </w:r>
      <w:r>
        <w:rPr>
          <w:rFonts w:hint="eastAsia" w:cs="宋体"/>
        </w:rPr>
        <w:t>．合同价格即合同总价。</w:t>
      </w:r>
    </w:p>
    <w:p>
      <w:pPr>
        <w:snapToGrid w:val="0"/>
        <w:spacing w:line="560" w:lineRule="exact"/>
        <w:ind w:firstLine="570"/>
      </w:pPr>
      <w:r>
        <w:t>2</w:t>
      </w:r>
      <w:r>
        <w:rPr>
          <w:rFonts w:hint="eastAsia" w:cs="宋体"/>
        </w:rPr>
        <w:t>．合同价格包括开发费、地图数据采集和制作费、技术资料费、保险费、培训费、包装费、安装调试费及有关的供方应交纳的各种税费等。</w:t>
      </w:r>
    </w:p>
    <w:p>
      <w:pPr>
        <w:snapToGrid w:val="0"/>
        <w:spacing w:line="560" w:lineRule="exact"/>
        <w:ind w:firstLine="570"/>
      </w:pPr>
      <w:r>
        <w:t>3</w:t>
      </w:r>
      <w:r>
        <w:rPr>
          <w:rFonts w:hint="eastAsia" w:cs="宋体"/>
        </w:rPr>
        <w:t>．合同价为最终中选成交单价。</w:t>
      </w:r>
    </w:p>
    <w:p>
      <w:pPr>
        <w:snapToGrid w:val="0"/>
        <w:spacing w:line="560" w:lineRule="exact"/>
        <w:ind w:firstLine="570"/>
        <w:outlineLvl w:val="0"/>
        <w:rPr>
          <w:b/>
          <w:bCs/>
          <w:sz w:val="30"/>
          <w:szCs w:val="30"/>
        </w:rPr>
      </w:pPr>
      <w:r>
        <w:rPr>
          <w:rFonts w:hint="eastAsia" w:cs="宋体"/>
          <w:b/>
          <w:bCs/>
          <w:sz w:val="30"/>
          <w:szCs w:val="30"/>
        </w:rPr>
        <w:t>四、付款</w:t>
      </w:r>
    </w:p>
    <w:p>
      <w:pPr>
        <w:snapToGrid w:val="0"/>
        <w:spacing w:line="560" w:lineRule="exact"/>
        <w:ind w:firstLine="570"/>
      </w:pPr>
      <w:r>
        <w:t>1</w:t>
      </w:r>
      <w:r>
        <w:rPr>
          <w:rFonts w:hint="eastAsia" w:cs="宋体"/>
        </w:rPr>
        <w:t>．本合同使用货币币制如未作特别说明均为人民币。</w:t>
      </w:r>
    </w:p>
    <w:p>
      <w:pPr>
        <w:snapToGrid w:val="0"/>
        <w:spacing w:line="560" w:lineRule="exact"/>
        <w:ind w:firstLine="570"/>
      </w:pPr>
      <w:r>
        <w:t>2</w:t>
      </w:r>
      <w:r>
        <w:rPr>
          <w:rFonts w:hint="eastAsia" w:cs="宋体"/>
        </w:rPr>
        <w:t>．付款方式：汇兑、支票、信用证等。</w:t>
      </w:r>
    </w:p>
    <w:p>
      <w:pPr>
        <w:snapToGrid w:val="0"/>
        <w:spacing w:line="560" w:lineRule="exact"/>
        <w:ind w:firstLine="570"/>
      </w:pPr>
      <w:r>
        <w:t>3</w:t>
      </w:r>
      <w:r>
        <w:rPr>
          <w:rFonts w:hint="eastAsia" w:cs="宋体"/>
        </w:rPr>
        <w:t>．付款方法按询比文件商务条款要求执行。</w:t>
      </w:r>
    </w:p>
    <w:p>
      <w:pPr>
        <w:snapToGrid w:val="0"/>
        <w:spacing w:line="560" w:lineRule="exact"/>
        <w:ind w:firstLine="570"/>
        <w:outlineLvl w:val="0"/>
        <w:rPr>
          <w:b/>
          <w:bCs/>
          <w:sz w:val="30"/>
          <w:szCs w:val="30"/>
        </w:rPr>
      </w:pPr>
      <w:r>
        <w:rPr>
          <w:rFonts w:hint="eastAsia" w:cs="宋体"/>
          <w:b/>
          <w:bCs/>
          <w:sz w:val="30"/>
          <w:szCs w:val="30"/>
        </w:rPr>
        <w:t>五、交货和运输</w:t>
      </w:r>
    </w:p>
    <w:p>
      <w:pPr>
        <w:snapToGrid w:val="0"/>
        <w:spacing w:line="560" w:lineRule="exact"/>
        <w:ind w:firstLine="570"/>
      </w:pPr>
      <w:r>
        <w:rPr>
          <w:rFonts w:hint="eastAsia" w:cs="宋体"/>
        </w:rPr>
        <w:t>合同的完成时间、地点、交付方式皆按《询比文件》的规定执行。</w:t>
      </w:r>
    </w:p>
    <w:p>
      <w:pPr>
        <w:spacing w:line="440" w:lineRule="exact"/>
        <w:ind w:firstLine="602" w:firstLineChars="200"/>
        <w:rPr>
          <w:rFonts w:cs="宋体"/>
          <w:b/>
          <w:bCs/>
          <w:sz w:val="30"/>
          <w:szCs w:val="30"/>
        </w:rPr>
      </w:pPr>
      <w:r>
        <w:rPr>
          <w:rFonts w:hint="eastAsia" w:cs="宋体"/>
          <w:b/>
          <w:bCs/>
          <w:sz w:val="30"/>
          <w:szCs w:val="30"/>
        </w:rPr>
        <w:t>六、验收标准、方法：</w:t>
      </w:r>
    </w:p>
    <w:p>
      <w:pPr>
        <w:spacing w:line="440" w:lineRule="exact"/>
        <w:ind w:firstLine="560" w:firstLineChars="200"/>
      </w:pPr>
      <w:r>
        <w:rPr>
          <w:rFonts w:hint="eastAsia"/>
        </w:rPr>
        <w:t>1． 按国家标准、行业标准进行验收。</w:t>
      </w:r>
    </w:p>
    <w:p>
      <w:pPr>
        <w:spacing w:line="440" w:lineRule="exact"/>
        <w:ind w:firstLine="560" w:firstLineChars="200"/>
      </w:pPr>
      <w:r>
        <w:rPr>
          <w:rFonts w:hint="eastAsia"/>
        </w:rPr>
        <w:t>2． 货物到达指定地点后，需方进行数量验收，安装调试完毕试用一段时间后由供方提供书面申请，需方再组织质量验收。</w:t>
      </w:r>
    </w:p>
    <w:p>
      <w:pPr>
        <w:snapToGrid w:val="0"/>
        <w:spacing w:line="560" w:lineRule="exact"/>
        <w:ind w:firstLine="570"/>
        <w:outlineLvl w:val="0"/>
        <w:rPr>
          <w:b/>
          <w:bCs/>
          <w:sz w:val="30"/>
          <w:szCs w:val="30"/>
        </w:rPr>
      </w:pPr>
      <w:r>
        <w:rPr>
          <w:rFonts w:hint="eastAsia" w:cs="宋体"/>
          <w:b/>
          <w:bCs/>
          <w:sz w:val="30"/>
          <w:szCs w:val="30"/>
        </w:rPr>
        <w:t>七、索赔</w:t>
      </w:r>
    </w:p>
    <w:p>
      <w:pPr>
        <w:snapToGrid w:val="0"/>
        <w:spacing w:line="560" w:lineRule="exact"/>
        <w:ind w:firstLine="570"/>
      </w:pPr>
      <w:r>
        <w:rPr>
          <w:rFonts w:hint="eastAsia" w:cs="宋体"/>
        </w:rPr>
        <w:t>供方对货物与合同内容存在偏差负有责任，如果需方在合同条款规定的检验、安装、调试、验收和质量保证期内提出了索赔，需方有权选择按照下列一种方法或几种方式结合起来解决索赔事宜：</w:t>
      </w:r>
    </w:p>
    <w:p>
      <w:pPr>
        <w:snapToGrid w:val="0"/>
        <w:spacing w:line="560" w:lineRule="exact"/>
        <w:ind w:firstLine="570"/>
      </w:pPr>
      <w:r>
        <w:t>1.</w:t>
      </w:r>
      <w:r>
        <w:rPr>
          <w:rFonts w:hint="eastAsia" w:cs="宋体"/>
        </w:rPr>
        <w:t>需方拒收货物，并由供方负担发生的一切损失和费用。</w:t>
      </w:r>
    </w:p>
    <w:p>
      <w:pPr>
        <w:snapToGrid w:val="0"/>
        <w:spacing w:line="560" w:lineRule="exact"/>
        <w:ind w:firstLine="570"/>
      </w:pPr>
      <w:r>
        <w:t>2.</w:t>
      </w:r>
      <w:r>
        <w:rPr>
          <w:rFonts w:hint="eastAsia" w:cs="宋体"/>
        </w:rPr>
        <w:t>根据需方遭受损失的金额，经双方同意降低货物价格。</w:t>
      </w:r>
    </w:p>
    <w:p>
      <w:pPr>
        <w:snapToGrid w:val="0"/>
        <w:spacing w:line="560" w:lineRule="exact"/>
        <w:ind w:firstLine="570"/>
        <w:rPr>
          <w:b/>
        </w:rPr>
      </w:pPr>
      <w:r>
        <w:rPr>
          <w:b/>
        </w:rPr>
        <w:t>3.</w:t>
      </w:r>
      <w:r>
        <w:rPr>
          <w:rFonts w:hint="eastAsia"/>
          <w:b/>
        </w:rPr>
        <w:t>继续在约定时间内为需方</w:t>
      </w:r>
      <w:r>
        <w:rPr>
          <w:rFonts w:hint="eastAsia" w:cs="宋体"/>
          <w:b/>
        </w:rPr>
        <w:t>提供符合规定的内容、质量和性能指标要求的货物，供方应承担一切费用和风险并负担需方蒙受的全部直接损失费用。同时，供方应该相应延长售后服务及质量保证期。</w:t>
      </w:r>
    </w:p>
    <w:p>
      <w:pPr>
        <w:snapToGrid w:val="0"/>
        <w:spacing w:line="560" w:lineRule="exact"/>
        <w:ind w:firstLine="570"/>
        <w:outlineLvl w:val="0"/>
        <w:rPr>
          <w:b/>
          <w:bCs/>
          <w:sz w:val="30"/>
          <w:szCs w:val="30"/>
        </w:rPr>
      </w:pPr>
      <w:r>
        <w:rPr>
          <w:rFonts w:hint="eastAsia" w:cs="宋体"/>
          <w:b/>
          <w:bCs/>
          <w:sz w:val="30"/>
          <w:szCs w:val="30"/>
        </w:rPr>
        <w:t>八、合同争议的解决</w:t>
      </w:r>
    </w:p>
    <w:p>
      <w:pPr>
        <w:snapToGrid w:val="0"/>
        <w:spacing w:line="560" w:lineRule="exact"/>
        <w:ind w:firstLine="570"/>
      </w:pPr>
      <w:r>
        <w:t>1</w:t>
      </w:r>
      <w:r>
        <w:rPr>
          <w:rFonts w:hint="eastAsia" w:cs="宋体"/>
        </w:rPr>
        <w:t>．双方友好协商达成一致</w:t>
      </w:r>
    </w:p>
    <w:p>
      <w:pPr>
        <w:snapToGrid w:val="0"/>
        <w:spacing w:line="560" w:lineRule="exact"/>
        <w:ind w:firstLine="570"/>
      </w:pPr>
      <w:r>
        <w:t>2</w:t>
      </w:r>
      <w:r>
        <w:rPr>
          <w:rFonts w:hint="eastAsia" w:cs="宋体"/>
        </w:rPr>
        <w:t>．双方协商不能达成协议的应依法向需方所在地人民法院起诉。</w:t>
      </w:r>
    </w:p>
    <w:p>
      <w:pPr>
        <w:snapToGrid w:val="0"/>
        <w:spacing w:line="560" w:lineRule="exact"/>
        <w:ind w:firstLine="570"/>
        <w:outlineLvl w:val="0"/>
        <w:rPr>
          <w:b/>
          <w:bCs/>
          <w:sz w:val="30"/>
          <w:szCs w:val="30"/>
        </w:rPr>
      </w:pPr>
      <w:r>
        <w:rPr>
          <w:rFonts w:hint="eastAsia" w:cs="宋体"/>
          <w:b/>
          <w:bCs/>
          <w:sz w:val="30"/>
          <w:szCs w:val="30"/>
        </w:rPr>
        <w:t>九、违约责任</w:t>
      </w:r>
    </w:p>
    <w:p>
      <w:pPr>
        <w:snapToGrid w:val="0"/>
        <w:spacing w:line="560" w:lineRule="exact"/>
        <w:ind w:firstLine="570"/>
      </w:pPr>
      <w:r>
        <w:rPr>
          <w:rFonts w:hint="eastAsia" w:cs="宋体"/>
        </w:rPr>
        <w:t>按《中华人民共和国合同法》有关条款执行或供需双方约定。</w:t>
      </w:r>
    </w:p>
    <w:p>
      <w:pPr>
        <w:snapToGrid w:val="0"/>
        <w:spacing w:line="560" w:lineRule="exact"/>
        <w:ind w:firstLine="570"/>
        <w:outlineLvl w:val="0"/>
        <w:rPr>
          <w:b/>
          <w:bCs/>
          <w:sz w:val="30"/>
          <w:szCs w:val="30"/>
        </w:rPr>
      </w:pPr>
      <w:r>
        <w:rPr>
          <w:rFonts w:hint="eastAsia" w:cs="宋体"/>
          <w:b/>
          <w:bCs/>
          <w:sz w:val="30"/>
          <w:szCs w:val="30"/>
        </w:rPr>
        <w:t>十、合同生效及其它</w:t>
      </w:r>
    </w:p>
    <w:p>
      <w:pPr>
        <w:snapToGrid w:val="0"/>
        <w:spacing w:line="560" w:lineRule="exact"/>
        <w:ind w:firstLine="570"/>
      </w:pPr>
      <w:r>
        <w:t>1</w:t>
      </w:r>
      <w:r>
        <w:rPr>
          <w:rFonts w:hint="eastAsia" w:cs="宋体"/>
        </w:rPr>
        <w:t>．合同应经双方法定代表人或委托代理人签字，加盖合同专用章。</w:t>
      </w:r>
    </w:p>
    <w:p>
      <w:pPr>
        <w:snapToGrid w:val="0"/>
        <w:spacing w:line="560" w:lineRule="exact"/>
        <w:ind w:firstLine="570"/>
      </w:pPr>
      <w:r>
        <w:t>2</w:t>
      </w:r>
      <w:r>
        <w:rPr>
          <w:rFonts w:hint="eastAsia" w:cs="宋体"/>
        </w:rPr>
        <w:t>．合同所包括附件（询比文件、询比过程中的补充文件、询比响应文件及相关承诺文件），是合同不可分割的一部分，具有同等法律效力。</w:t>
      </w:r>
    </w:p>
    <w:p>
      <w:pPr>
        <w:snapToGrid w:val="0"/>
        <w:spacing w:line="560" w:lineRule="exact"/>
        <w:ind w:firstLine="570"/>
      </w:pPr>
      <w:r>
        <w:t>3</w:t>
      </w:r>
      <w:r>
        <w:rPr>
          <w:rFonts w:hint="eastAsia" w:cs="宋体"/>
        </w:rPr>
        <w:t>．本合同条款未尽事宜依照《中华人民共和国合同法》，由供需双方共同协商确定。</w:t>
      </w:r>
    </w:p>
    <w:p>
      <w:pPr>
        <w:snapToGrid w:val="0"/>
        <w:spacing w:line="460" w:lineRule="exact"/>
      </w:pPr>
    </w:p>
    <w:p>
      <w:pPr>
        <w:rPr>
          <w:rFonts w:cs="宋体"/>
          <w:b/>
          <w:bCs/>
          <w:sz w:val="30"/>
          <w:szCs w:val="30"/>
        </w:rPr>
      </w:pPr>
      <w:r>
        <w:rPr>
          <w:rFonts w:hint="eastAsia" w:cs="宋体"/>
          <w:b/>
          <w:bCs/>
          <w:sz w:val="30"/>
          <w:szCs w:val="30"/>
        </w:rPr>
        <w:t>十一、合同格式</w:t>
      </w:r>
    </w:p>
    <w:p>
      <w:pPr>
        <w:snapToGrid w:val="0"/>
        <w:spacing w:line="400" w:lineRule="exact"/>
        <w:ind w:firstLine="480" w:firstLineChars="200"/>
        <w:rPr>
          <w:rFonts w:ascii="微软雅黑" w:hAnsi="微软雅黑" w:eastAsia="微软雅黑" w:cs="宋体"/>
          <w:b/>
          <w:kern w:val="0"/>
          <w:sz w:val="24"/>
        </w:rPr>
      </w:pPr>
      <w:r>
        <w:rPr>
          <w:rFonts w:hint="eastAsia" w:ascii="微软雅黑" w:hAnsi="微软雅黑" w:eastAsia="微软雅黑" w:cs="宋体"/>
          <w:b/>
          <w:kern w:val="0"/>
          <w:sz w:val="24"/>
        </w:rPr>
        <w:t>注：国内供货采用《国产仪器设备采购合同》，进口货物采用《进口货物采购合同》。本合同范本中的内容在本采购文件其他地方有规定的从其规定，采购文件其他地方没有规定的按范本要求。请厂商在响应时特别注意，范本内容同时要求体现在技术、商务偏离表内，供应商须在技术、商务条款偏离表中进行响应。</w:t>
      </w:r>
    </w:p>
    <w:p>
      <w:pPr>
        <w:rPr>
          <w:b/>
          <w:bCs/>
          <w:sz w:val="30"/>
          <w:szCs w:val="30"/>
        </w:rPr>
      </w:pPr>
    </w:p>
    <w:p>
      <w:pPr>
        <w:spacing w:after="240" w:afterLines="100"/>
        <w:jc w:val="center"/>
        <w:rPr>
          <w:b/>
          <w:bCs/>
          <w:spacing w:val="40"/>
          <w:kern w:val="21"/>
          <w:sz w:val="44"/>
          <w:szCs w:val="44"/>
        </w:rPr>
      </w:pPr>
      <w:r>
        <w:rPr>
          <w:rFonts w:hint="eastAsia"/>
          <w:b/>
          <w:bCs/>
          <w:spacing w:val="40"/>
          <w:kern w:val="21"/>
          <w:sz w:val="44"/>
          <w:szCs w:val="44"/>
        </w:rPr>
        <w:t>国产仪器设备采购合同</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9"/>
        <w:gridCol w:w="4403"/>
        <w:gridCol w:w="1962"/>
        <w:gridCol w:w="974"/>
        <w:gridCol w:w="16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9" w:type="dxa"/>
            <w:tcBorders>
              <w:top w:val="nil"/>
              <w:left w:val="nil"/>
              <w:bottom w:val="nil"/>
              <w:right w:val="nil"/>
            </w:tcBorders>
          </w:tcPr>
          <w:p>
            <w:pPr>
              <w:spacing w:line="288" w:lineRule="auto"/>
              <w:jc w:val="left"/>
              <w:rPr>
                <w:rFonts w:ascii="宋体" w:hAnsi="宋体" w:cs="宋体"/>
                <w:b/>
                <w:bCs/>
                <w:sz w:val="24"/>
                <w:szCs w:val="24"/>
              </w:rPr>
            </w:pPr>
            <w:r>
              <w:rPr>
                <w:rFonts w:hint="eastAsia" w:ascii="宋体" w:hAnsi="宋体" w:cs="宋体"/>
                <w:b/>
                <w:bCs/>
                <w:sz w:val="24"/>
                <w:szCs w:val="24"/>
              </w:rPr>
              <w:t>供方：</w:t>
            </w:r>
          </w:p>
        </w:tc>
        <w:tc>
          <w:tcPr>
            <w:tcW w:w="4403" w:type="dxa"/>
            <w:tcBorders>
              <w:top w:val="nil"/>
              <w:left w:val="nil"/>
              <w:right w:val="nil"/>
            </w:tcBorders>
          </w:tcPr>
          <w:p>
            <w:pPr>
              <w:spacing w:line="288" w:lineRule="auto"/>
              <w:jc w:val="left"/>
              <w:rPr>
                <w:rFonts w:ascii="宋体" w:hAnsi="宋体" w:cs="宋体"/>
                <w:b/>
                <w:bCs/>
                <w:sz w:val="24"/>
                <w:szCs w:val="24"/>
              </w:rPr>
            </w:pPr>
          </w:p>
        </w:tc>
        <w:tc>
          <w:tcPr>
            <w:tcW w:w="2936" w:type="dxa"/>
            <w:gridSpan w:val="2"/>
            <w:tcBorders>
              <w:top w:val="nil"/>
              <w:left w:val="nil"/>
              <w:bottom w:val="nil"/>
              <w:right w:val="nil"/>
            </w:tcBorders>
          </w:tcPr>
          <w:p>
            <w:pPr>
              <w:wordWrap w:val="0"/>
              <w:spacing w:line="288" w:lineRule="auto"/>
              <w:ind w:right="964"/>
              <w:jc w:val="right"/>
              <w:rPr>
                <w:rFonts w:ascii="宋体" w:hAnsi="宋体" w:cs="宋体"/>
                <w:sz w:val="24"/>
                <w:szCs w:val="24"/>
              </w:rPr>
            </w:pPr>
            <w:r>
              <w:rPr>
                <w:rFonts w:hint="eastAsia" w:ascii="宋体" w:hAnsi="宋体" w:cs="宋体"/>
                <w:b/>
                <w:bCs/>
                <w:sz w:val="24"/>
                <w:szCs w:val="24"/>
              </w:rPr>
              <w:t>合同编号</w:t>
            </w:r>
            <w:r>
              <w:rPr>
                <w:rFonts w:hint="eastAsia" w:ascii="宋体" w:hAnsi="宋体" w:cs="宋体"/>
                <w:sz w:val="24"/>
                <w:szCs w:val="24"/>
              </w:rPr>
              <w:t>：</w:t>
            </w:r>
          </w:p>
        </w:tc>
        <w:tc>
          <w:tcPr>
            <w:tcW w:w="1654" w:type="dxa"/>
            <w:tcBorders>
              <w:top w:val="nil"/>
              <w:left w:val="nil"/>
              <w:right w:val="nil"/>
            </w:tcBorders>
          </w:tcPr>
          <w:p>
            <w:pPr>
              <w:wordWrap w:val="0"/>
              <w:spacing w:line="288" w:lineRule="auto"/>
              <w:jc w:val="left"/>
              <w:rPr>
                <w:rFonts w:ascii="宋体" w:hAnsi="宋体" w:cs="宋体"/>
                <w:b/>
                <w:bCs/>
                <w:sz w:val="24"/>
                <w:szCs w:val="24"/>
              </w:rPr>
            </w:pPr>
            <w:r>
              <w:rPr>
                <w:rFonts w:hint="eastAsia" w:ascii="宋体" w:hAnsi="宋体" w:cs="宋体"/>
                <w:b/>
                <w:bCs/>
                <w:vanish/>
                <w:color w:val="FF0000"/>
                <w:sz w:val="24"/>
                <w:szCs w:val="24"/>
              </w:rPr>
              <w:t>设备处填写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9" w:type="dxa"/>
            <w:tcBorders>
              <w:top w:val="nil"/>
              <w:left w:val="nil"/>
              <w:bottom w:val="nil"/>
              <w:right w:val="nil"/>
            </w:tcBorders>
          </w:tcPr>
          <w:p>
            <w:pPr>
              <w:wordWrap w:val="0"/>
              <w:spacing w:line="288" w:lineRule="auto"/>
              <w:jc w:val="left"/>
              <w:rPr>
                <w:rFonts w:ascii="宋体" w:hAnsi="宋体" w:cs="宋体"/>
                <w:b/>
                <w:bCs/>
                <w:sz w:val="24"/>
                <w:szCs w:val="24"/>
              </w:rPr>
            </w:pPr>
            <w:r>
              <w:rPr>
                <w:rFonts w:hint="eastAsia" w:ascii="宋体" w:hAnsi="宋体" w:cs="宋体"/>
                <w:b/>
                <w:bCs/>
                <w:sz w:val="24"/>
                <w:szCs w:val="24"/>
              </w:rPr>
              <w:t>需方：</w:t>
            </w:r>
          </w:p>
        </w:tc>
        <w:tc>
          <w:tcPr>
            <w:tcW w:w="4403" w:type="dxa"/>
            <w:tcBorders>
              <w:left w:val="nil"/>
              <w:right w:val="nil"/>
            </w:tcBorders>
          </w:tcPr>
          <w:p>
            <w:pPr>
              <w:wordWrap w:val="0"/>
              <w:spacing w:line="288" w:lineRule="auto"/>
              <w:jc w:val="left"/>
              <w:rPr>
                <w:rFonts w:ascii="宋体" w:hAnsi="宋体" w:cs="宋体"/>
                <w:sz w:val="24"/>
                <w:szCs w:val="24"/>
              </w:rPr>
            </w:pPr>
            <w:r>
              <w:rPr>
                <w:rFonts w:hint="eastAsia" w:ascii="宋体" w:hAnsi="宋体" w:cs="宋体"/>
                <w:b/>
                <w:bCs/>
                <w:sz w:val="24"/>
                <w:szCs w:val="24"/>
              </w:rPr>
              <w:t>西南大学</w:t>
            </w:r>
          </w:p>
        </w:tc>
        <w:tc>
          <w:tcPr>
            <w:tcW w:w="1962" w:type="dxa"/>
            <w:tcBorders>
              <w:top w:val="nil"/>
              <w:left w:val="nil"/>
              <w:bottom w:val="nil"/>
              <w:right w:val="nil"/>
            </w:tcBorders>
          </w:tcPr>
          <w:p>
            <w:pPr>
              <w:wordWrap w:val="0"/>
              <w:spacing w:line="288" w:lineRule="auto"/>
              <w:jc w:val="right"/>
              <w:rPr>
                <w:rFonts w:ascii="宋体" w:hAnsi="宋体" w:cs="宋体"/>
                <w:b/>
                <w:bCs/>
                <w:sz w:val="24"/>
                <w:szCs w:val="24"/>
              </w:rPr>
            </w:pPr>
            <w:r>
              <w:rPr>
                <w:rFonts w:hint="eastAsia" w:ascii="宋体" w:hAnsi="宋体" w:cs="宋体"/>
                <w:b/>
                <w:bCs/>
                <w:sz w:val="24"/>
                <w:szCs w:val="24"/>
              </w:rPr>
              <w:t>需方用户单位：</w:t>
            </w:r>
          </w:p>
        </w:tc>
        <w:tc>
          <w:tcPr>
            <w:tcW w:w="2628" w:type="dxa"/>
            <w:gridSpan w:val="2"/>
            <w:tcBorders>
              <w:left w:val="nil"/>
              <w:right w:val="nil"/>
            </w:tcBorders>
          </w:tcPr>
          <w:p>
            <w:pPr>
              <w:wordWrap w:val="0"/>
              <w:spacing w:line="288" w:lineRule="auto"/>
              <w:jc w:val="left"/>
              <w:rPr>
                <w:rFonts w:ascii="宋体" w:hAnsi="宋体" w:cs="宋体"/>
                <w:sz w:val="24"/>
                <w:szCs w:val="24"/>
              </w:rPr>
            </w:pPr>
          </w:p>
        </w:tc>
      </w:tr>
    </w:tbl>
    <w:p>
      <w:pPr>
        <w:spacing w:line="420" w:lineRule="exact"/>
        <w:rPr>
          <w:b/>
          <w:szCs w:val="24"/>
        </w:rPr>
      </w:pPr>
    </w:p>
    <w:p>
      <w:pPr>
        <w:spacing w:after="120" w:afterLines="50" w:line="440" w:lineRule="exact"/>
        <w:ind w:firstLine="480" w:firstLineChars="200"/>
        <w:rPr>
          <w:sz w:val="24"/>
          <w:szCs w:val="24"/>
        </w:rPr>
      </w:pPr>
      <w:r>
        <w:rPr>
          <w:rFonts w:hint="eastAsia"/>
          <w:sz w:val="24"/>
          <w:szCs w:val="24"/>
        </w:rPr>
        <w:t>需方就所需仪器、设备（包括相关配套软件、硬件、集成系统在内，以下统称货物/产品）按照采购程序进行采购（采购项目编号：</w:t>
      </w:r>
      <w:r>
        <w:rPr>
          <w:rFonts w:hint="eastAsia"/>
          <w:sz w:val="24"/>
          <w:szCs w:val="24"/>
          <w:u w:val="single"/>
        </w:rPr>
        <w:t xml:space="preserve">          </w:t>
      </w:r>
      <w:r>
        <w:rPr>
          <w:rFonts w:hint="eastAsia"/>
          <w:vanish/>
          <w:color w:val="FF0000"/>
          <w:sz w:val="24"/>
          <w:szCs w:val="24"/>
          <w:u w:val="single"/>
        </w:rPr>
        <w:t xml:space="preserve">分包：  </w:t>
      </w:r>
      <w:r>
        <w:rPr>
          <w:rFonts w:hint="eastAsia"/>
          <w:sz w:val="24"/>
          <w:szCs w:val="24"/>
        </w:rPr>
        <w:t>；</w:t>
      </w:r>
      <w:r>
        <w:rPr>
          <w:rFonts w:hint="eastAsia" w:ascii="宋体" w:hAnsi="宋体" w:cs="宋体"/>
          <w:sz w:val="24"/>
          <w:szCs w:val="24"/>
        </w:rPr>
        <w:t>项目名称：</w:t>
      </w:r>
      <w:r>
        <w:rPr>
          <w:rFonts w:hint="eastAsia" w:ascii="宋体" w:hAnsi="宋体" w:cs="宋体"/>
          <w:sz w:val="24"/>
          <w:szCs w:val="24"/>
          <w:u w:val="single"/>
        </w:rPr>
        <w:t xml:space="preserve">               </w:t>
      </w:r>
      <w:r>
        <w:rPr>
          <w:rFonts w:hint="eastAsia" w:ascii="宋体" w:hAnsi="宋体" w:cs="宋体"/>
          <w:sz w:val="24"/>
          <w:szCs w:val="24"/>
        </w:rPr>
        <w:t>；</w:t>
      </w:r>
      <w:r>
        <w:rPr>
          <w:rFonts w:hint="eastAsia"/>
          <w:sz w:val="24"/>
          <w:szCs w:val="24"/>
        </w:rPr>
        <w:t>申购业务号：</w:t>
      </w:r>
      <w:r>
        <w:rPr>
          <w:rFonts w:hint="eastAsia"/>
          <w:sz w:val="24"/>
          <w:szCs w:val="24"/>
          <w:u w:val="single"/>
        </w:rPr>
        <w:t xml:space="preserve">          </w:t>
      </w:r>
      <w:r>
        <w:rPr>
          <w:rFonts w:hint="eastAsia"/>
          <w:sz w:val="24"/>
          <w:szCs w:val="24"/>
        </w:rPr>
        <w:t>）后，确定供方为中标（成交）供应商。依据《中华人民共和国民法典》、《中华人民共和国政府采购法》（非政府采购项目为参照政采法）等有关法律、法规，遵循平等、自愿、公平和诚实信用原则，供、需双方协商一致，签订本合同。</w:t>
      </w:r>
    </w:p>
    <w:p>
      <w:pPr>
        <w:spacing w:after="120" w:afterLines="50" w:line="440" w:lineRule="exact"/>
        <w:ind w:firstLine="371" w:firstLineChars="132"/>
        <w:jc w:val="left"/>
        <w:rPr>
          <w:sz w:val="24"/>
          <w:szCs w:val="24"/>
        </w:rPr>
      </w:pPr>
      <w:r>
        <w:rPr>
          <w:rFonts w:hint="eastAsia" w:ascii="Calibri Light" w:hAnsi="Calibri Light"/>
          <w:b/>
          <w:bCs/>
        </w:rPr>
        <w:t>一、采购内容</w:t>
      </w:r>
      <w:r>
        <w:rPr>
          <w:rFonts w:hint="eastAsia" w:ascii="Calibri Light" w:hAnsi="Calibri Light"/>
          <w:b/>
          <w:bCs/>
          <w:vanish/>
          <w:color w:val="FF0000"/>
        </w:rPr>
        <w:t>（如有多个院系，按院系分类汇总）</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2288"/>
        <w:gridCol w:w="1725"/>
        <w:gridCol w:w="1730"/>
        <w:gridCol w:w="432"/>
        <w:gridCol w:w="590"/>
        <w:gridCol w:w="1136"/>
        <w:gridCol w:w="1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727" w:type="dxa"/>
            <w:vAlign w:val="center"/>
          </w:tcPr>
          <w:p>
            <w:pPr>
              <w:jc w:val="center"/>
              <w:rPr>
                <w:rFonts w:ascii="宋体" w:hAnsi="宋体"/>
                <w:spacing w:val="-20"/>
                <w:sz w:val="24"/>
                <w:szCs w:val="24"/>
              </w:rPr>
            </w:pPr>
            <w:r>
              <w:rPr>
                <w:rFonts w:hint="eastAsia" w:ascii="宋体" w:hAnsi="宋体"/>
                <w:spacing w:val="-20"/>
                <w:sz w:val="24"/>
                <w:szCs w:val="24"/>
              </w:rPr>
              <w:t>序号</w:t>
            </w:r>
          </w:p>
        </w:tc>
        <w:tc>
          <w:tcPr>
            <w:tcW w:w="2288" w:type="dxa"/>
            <w:vAlign w:val="center"/>
          </w:tcPr>
          <w:p>
            <w:pPr>
              <w:jc w:val="center"/>
              <w:rPr>
                <w:rFonts w:ascii="宋体" w:hAnsi="宋体"/>
                <w:sz w:val="24"/>
                <w:szCs w:val="24"/>
              </w:rPr>
            </w:pPr>
            <w:r>
              <w:rPr>
                <w:rFonts w:hint="eastAsia" w:ascii="宋体" w:hAnsi="宋体"/>
                <w:spacing w:val="-20"/>
                <w:sz w:val="24"/>
                <w:szCs w:val="24"/>
              </w:rPr>
              <w:t>产品名称</w:t>
            </w:r>
          </w:p>
        </w:tc>
        <w:tc>
          <w:tcPr>
            <w:tcW w:w="1725" w:type="dxa"/>
            <w:vAlign w:val="center"/>
          </w:tcPr>
          <w:p>
            <w:pPr>
              <w:jc w:val="center"/>
              <w:rPr>
                <w:rFonts w:ascii="宋体" w:hAnsi="宋体"/>
                <w:sz w:val="24"/>
                <w:szCs w:val="24"/>
              </w:rPr>
            </w:pPr>
            <w:r>
              <w:rPr>
                <w:rFonts w:hint="eastAsia" w:ascii="宋体" w:hAnsi="宋体"/>
                <w:spacing w:val="-20"/>
                <w:sz w:val="24"/>
                <w:szCs w:val="24"/>
              </w:rPr>
              <w:t>品牌及型号</w:t>
            </w:r>
          </w:p>
        </w:tc>
        <w:tc>
          <w:tcPr>
            <w:tcW w:w="1730" w:type="dxa"/>
            <w:vAlign w:val="center"/>
          </w:tcPr>
          <w:p>
            <w:pPr>
              <w:jc w:val="center"/>
              <w:rPr>
                <w:rFonts w:ascii="宋体" w:hAnsi="宋体"/>
                <w:sz w:val="24"/>
                <w:szCs w:val="24"/>
              </w:rPr>
            </w:pPr>
            <w:r>
              <w:rPr>
                <w:rFonts w:hint="eastAsia" w:ascii="宋体" w:hAnsi="宋体"/>
                <w:sz w:val="24"/>
                <w:szCs w:val="24"/>
              </w:rPr>
              <w:t>产地及</w:t>
            </w:r>
          </w:p>
          <w:p>
            <w:pPr>
              <w:jc w:val="center"/>
              <w:rPr>
                <w:rFonts w:ascii="宋体" w:hAnsi="宋体"/>
                <w:sz w:val="24"/>
                <w:szCs w:val="24"/>
              </w:rPr>
            </w:pPr>
            <w:r>
              <w:rPr>
                <w:rFonts w:hint="eastAsia" w:ascii="宋体" w:hAnsi="宋体"/>
                <w:sz w:val="24"/>
                <w:szCs w:val="24"/>
              </w:rPr>
              <w:t>生产厂商</w:t>
            </w:r>
          </w:p>
        </w:tc>
        <w:tc>
          <w:tcPr>
            <w:tcW w:w="432" w:type="dxa"/>
            <w:vAlign w:val="center"/>
          </w:tcPr>
          <w:p>
            <w:pPr>
              <w:jc w:val="center"/>
              <w:rPr>
                <w:rFonts w:ascii="宋体" w:hAnsi="宋体"/>
                <w:sz w:val="24"/>
                <w:szCs w:val="24"/>
              </w:rPr>
            </w:pPr>
            <w:r>
              <w:rPr>
                <w:rFonts w:hint="eastAsia" w:ascii="宋体" w:hAnsi="宋体"/>
                <w:sz w:val="24"/>
                <w:szCs w:val="24"/>
              </w:rPr>
              <w:t>单</w:t>
            </w:r>
          </w:p>
          <w:p>
            <w:pPr>
              <w:jc w:val="center"/>
              <w:rPr>
                <w:rFonts w:ascii="宋体" w:hAnsi="宋体"/>
                <w:sz w:val="24"/>
                <w:szCs w:val="24"/>
              </w:rPr>
            </w:pPr>
            <w:r>
              <w:rPr>
                <w:rFonts w:hint="eastAsia" w:ascii="宋体" w:hAnsi="宋体"/>
                <w:sz w:val="24"/>
                <w:szCs w:val="24"/>
              </w:rPr>
              <w:t>位</w:t>
            </w:r>
          </w:p>
        </w:tc>
        <w:tc>
          <w:tcPr>
            <w:tcW w:w="590" w:type="dxa"/>
            <w:vAlign w:val="center"/>
          </w:tcPr>
          <w:p>
            <w:pPr>
              <w:jc w:val="center"/>
              <w:rPr>
                <w:rFonts w:ascii="宋体" w:hAnsi="宋体"/>
                <w:sz w:val="24"/>
                <w:szCs w:val="24"/>
              </w:rPr>
            </w:pPr>
            <w:r>
              <w:rPr>
                <w:rFonts w:hint="eastAsia" w:ascii="宋体" w:hAnsi="宋体"/>
                <w:sz w:val="24"/>
                <w:szCs w:val="24"/>
              </w:rPr>
              <w:t>数</w:t>
            </w:r>
          </w:p>
          <w:p>
            <w:pPr>
              <w:jc w:val="center"/>
              <w:rPr>
                <w:rFonts w:ascii="宋体" w:hAnsi="宋体"/>
                <w:sz w:val="24"/>
                <w:szCs w:val="24"/>
              </w:rPr>
            </w:pPr>
            <w:r>
              <w:rPr>
                <w:rFonts w:hint="eastAsia" w:ascii="宋体" w:hAnsi="宋体"/>
                <w:sz w:val="24"/>
                <w:szCs w:val="24"/>
              </w:rPr>
              <w:t>量</w:t>
            </w:r>
          </w:p>
        </w:tc>
        <w:tc>
          <w:tcPr>
            <w:tcW w:w="1136" w:type="dxa"/>
            <w:vAlign w:val="center"/>
          </w:tcPr>
          <w:p>
            <w:pPr>
              <w:jc w:val="center"/>
              <w:rPr>
                <w:rFonts w:ascii="宋体" w:hAnsi="宋体"/>
                <w:sz w:val="24"/>
                <w:szCs w:val="24"/>
              </w:rPr>
            </w:pPr>
            <w:r>
              <w:rPr>
                <w:rFonts w:hint="eastAsia" w:ascii="宋体" w:hAnsi="宋体"/>
                <w:spacing w:val="-20"/>
                <w:sz w:val="24"/>
                <w:szCs w:val="24"/>
              </w:rPr>
              <w:t>单价</w:t>
            </w:r>
            <w:r>
              <w:rPr>
                <w:rFonts w:hint="eastAsia" w:ascii="宋体" w:hAnsi="宋体"/>
                <w:spacing w:val="-20"/>
                <w:sz w:val="21"/>
                <w:szCs w:val="21"/>
              </w:rPr>
              <w:t>（元）</w:t>
            </w:r>
          </w:p>
        </w:tc>
        <w:tc>
          <w:tcPr>
            <w:tcW w:w="1334" w:type="dxa"/>
            <w:vAlign w:val="center"/>
          </w:tcPr>
          <w:p>
            <w:pPr>
              <w:jc w:val="center"/>
              <w:rPr>
                <w:rFonts w:ascii="宋体" w:hAnsi="宋体"/>
                <w:spacing w:val="-20"/>
                <w:sz w:val="24"/>
                <w:szCs w:val="24"/>
              </w:rPr>
            </w:pPr>
            <w:r>
              <w:rPr>
                <w:rFonts w:hint="eastAsia" w:ascii="宋体" w:hAnsi="宋体"/>
                <w:spacing w:val="-20"/>
                <w:sz w:val="24"/>
                <w:szCs w:val="24"/>
              </w:rPr>
              <w:t>总价</w:t>
            </w:r>
            <w:r>
              <w:rPr>
                <w:rFonts w:hint="eastAsia" w:ascii="宋体" w:hAnsi="宋体"/>
                <w:spacing w:val="-20"/>
                <w:sz w:val="21"/>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27" w:type="dxa"/>
            <w:vMerge w:val="restart"/>
            <w:vAlign w:val="center"/>
          </w:tcPr>
          <w:p>
            <w:pPr>
              <w:spacing w:line="440" w:lineRule="exact"/>
              <w:ind w:right="95" w:rightChars="34"/>
              <w:jc w:val="center"/>
              <w:rPr>
                <w:rFonts w:ascii="宋体" w:hAnsi="宋体"/>
                <w:sz w:val="21"/>
                <w:szCs w:val="21"/>
              </w:rPr>
            </w:pPr>
            <w:r>
              <w:rPr>
                <w:rFonts w:hint="eastAsia" w:ascii="宋体" w:hAnsi="宋体"/>
                <w:sz w:val="21"/>
                <w:szCs w:val="21"/>
              </w:rPr>
              <w:t>1</w:t>
            </w:r>
          </w:p>
        </w:tc>
        <w:tc>
          <w:tcPr>
            <w:tcW w:w="2288" w:type="dxa"/>
            <w:vAlign w:val="center"/>
          </w:tcPr>
          <w:p>
            <w:pPr>
              <w:spacing w:line="440" w:lineRule="exact"/>
              <w:ind w:right="95" w:rightChars="34"/>
              <w:jc w:val="left"/>
              <w:rPr>
                <w:rFonts w:ascii="宋体" w:hAnsi="宋体"/>
                <w:sz w:val="21"/>
                <w:szCs w:val="21"/>
              </w:rPr>
            </w:pPr>
          </w:p>
        </w:tc>
        <w:tc>
          <w:tcPr>
            <w:tcW w:w="1725" w:type="dxa"/>
            <w:vAlign w:val="center"/>
          </w:tcPr>
          <w:p>
            <w:pPr>
              <w:spacing w:line="440" w:lineRule="exact"/>
              <w:jc w:val="left"/>
              <w:rPr>
                <w:rFonts w:ascii="宋体" w:hAnsi="宋体"/>
                <w:color w:val="000000"/>
                <w:sz w:val="24"/>
                <w:szCs w:val="24"/>
              </w:rPr>
            </w:pPr>
          </w:p>
        </w:tc>
        <w:tc>
          <w:tcPr>
            <w:tcW w:w="1730" w:type="dxa"/>
            <w:vAlign w:val="center"/>
          </w:tcPr>
          <w:p>
            <w:pPr>
              <w:jc w:val="left"/>
              <w:rPr>
                <w:rFonts w:ascii="Arial" w:hAnsi="Arial" w:cs="Arial"/>
                <w:color w:val="192E32"/>
                <w:sz w:val="18"/>
                <w:szCs w:val="18"/>
              </w:rPr>
            </w:pPr>
          </w:p>
        </w:tc>
        <w:tc>
          <w:tcPr>
            <w:tcW w:w="432" w:type="dxa"/>
            <w:vAlign w:val="center"/>
          </w:tcPr>
          <w:p>
            <w:pPr>
              <w:spacing w:line="440" w:lineRule="exact"/>
              <w:jc w:val="left"/>
              <w:rPr>
                <w:rFonts w:ascii="宋体" w:hAnsi="宋体"/>
                <w:color w:val="000000"/>
                <w:sz w:val="24"/>
                <w:szCs w:val="24"/>
              </w:rPr>
            </w:pPr>
          </w:p>
        </w:tc>
        <w:tc>
          <w:tcPr>
            <w:tcW w:w="590" w:type="dxa"/>
            <w:vAlign w:val="center"/>
          </w:tcPr>
          <w:p>
            <w:pPr>
              <w:spacing w:line="440" w:lineRule="exact"/>
              <w:jc w:val="left"/>
              <w:rPr>
                <w:rFonts w:ascii="宋体" w:hAnsi="宋体"/>
                <w:color w:val="000000"/>
                <w:sz w:val="24"/>
                <w:szCs w:val="24"/>
              </w:rPr>
            </w:pPr>
          </w:p>
        </w:tc>
        <w:tc>
          <w:tcPr>
            <w:tcW w:w="1136" w:type="dxa"/>
            <w:tcMar>
              <w:left w:w="0" w:type="dxa"/>
              <w:right w:w="0" w:type="dxa"/>
            </w:tcMar>
            <w:vAlign w:val="center"/>
          </w:tcPr>
          <w:p>
            <w:pPr>
              <w:spacing w:line="440" w:lineRule="exact"/>
              <w:ind w:right="315"/>
              <w:jc w:val="right"/>
              <w:rPr>
                <w:rFonts w:ascii="宋体" w:hAnsi="宋体"/>
                <w:sz w:val="21"/>
                <w:szCs w:val="21"/>
              </w:rPr>
            </w:pPr>
          </w:p>
        </w:tc>
        <w:tc>
          <w:tcPr>
            <w:tcW w:w="1334" w:type="dxa"/>
            <w:tcMar>
              <w:left w:w="0" w:type="dxa"/>
              <w:right w:w="0" w:type="dxa"/>
            </w:tcMar>
            <w:vAlign w:val="center"/>
          </w:tcPr>
          <w:p>
            <w:pPr>
              <w:jc w:val="righ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27" w:type="dxa"/>
            <w:vMerge w:val="continue"/>
            <w:vAlign w:val="center"/>
          </w:tcPr>
          <w:p>
            <w:pPr>
              <w:spacing w:line="440" w:lineRule="exact"/>
              <w:ind w:right="95" w:rightChars="34"/>
              <w:jc w:val="center"/>
              <w:rPr>
                <w:rFonts w:ascii="宋体" w:hAnsi="宋体"/>
                <w:sz w:val="21"/>
                <w:szCs w:val="21"/>
              </w:rPr>
            </w:pPr>
          </w:p>
        </w:tc>
        <w:tc>
          <w:tcPr>
            <w:tcW w:w="9235" w:type="dxa"/>
            <w:gridSpan w:val="7"/>
            <w:vAlign w:val="center"/>
          </w:tcPr>
          <w:p>
            <w:pPr>
              <w:jc w:val="left"/>
              <w:rPr>
                <w:rFonts w:ascii="宋体" w:hAnsi="宋体"/>
                <w:sz w:val="21"/>
                <w:szCs w:val="21"/>
              </w:rPr>
            </w:pPr>
            <w:r>
              <w:rPr>
                <w:rFonts w:hint="eastAsia" w:ascii="宋体" w:hAnsi="宋体"/>
                <w:sz w:val="21"/>
                <w:szCs w:val="21"/>
              </w:rPr>
              <w:t>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27" w:type="dxa"/>
            <w:vMerge w:val="restart"/>
            <w:vAlign w:val="center"/>
          </w:tcPr>
          <w:p>
            <w:pPr>
              <w:spacing w:line="440" w:lineRule="exact"/>
              <w:ind w:right="95" w:rightChars="34"/>
              <w:jc w:val="center"/>
              <w:rPr>
                <w:rFonts w:ascii="宋体" w:hAnsi="宋体"/>
                <w:sz w:val="21"/>
                <w:szCs w:val="21"/>
              </w:rPr>
            </w:pPr>
            <w:r>
              <w:rPr>
                <w:rFonts w:hint="eastAsia" w:ascii="宋体" w:hAnsi="宋体"/>
                <w:sz w:val="21"/>
                <w:szCs w:val="21"/>
              </w:rPr>
              <w:t>2</w:t>
            </w:r>
          </w:p>
        </w:tc>
        <w:tc>
          <w:tcPr>
            <w:tcW w:w="2288" w:type="dxa"/>
            <w:vAlign w:val="center"/>
          </w:tcPr>
          <w:p>
            <w:pPr>
              <w:spacing w:line="440" w:lineRule="exact"/>
              <w:ind w:right="95" w:rightChars="34"/>
              <w:jc w:val="left"/>
              <w:rPr>
                <w:rFonts w:ascii="宋体" w:hAnsi="宋体"/>
                <w:sz w:val="21"/>
                <w:szCs w:val="21"/>
              </w:rPr>
            </w:pPr>
          </w:p>
        </w:tc>
        <w:tc>
          <w:tcPr>
            <w:tcW w:w="1725" w:type="dxa"/>
            <w:vAlign w:val="center"/>
          </w:tcPr>
          <w:p>
            <w:pPr>
              <w:spacing w:line="440" w:lineRule="exact"/>
              <w:jc w:val="left"/>
              <w:rPr>
                <w:rFonts w:ascii="宋体" w:hAnsi="宋体"/>
                <w:color w:val="000000"/>
                <w:sz w:val="24"/>
                <w:szCs w:val="24"/>
              </w:rPr>
            </w:pPr>
          </w:p>
        </w:tc>
        <w:tc>
          <w:tcPr>
            <w:tcW w:w="1730" w:type="dxa"/>
            <w:vAlign w:val="center"/>
          </w:tcPr>
          <w:p>
            <w:pPr>
              <w:jc w:val="left"/>
              <w:rPr>
                <w:rFonts w:ascii="Arial" w:hAnsi="Arial" w:cs="Arial"/>
                <w:color w:val="192E32"/>
                <w:sz w:val="18"/>
                <w:szCs w:val="18"/>
              </w:rPr>
            </w:pPr>
          </w:p>
        </w:tc>
        <w:tc>
          <w:tcPr>
            <w:tcW w:w="432" w:type="dxa"/>
            <w:vAlign w:val="center"/>
          </w:tcPr>
          <w:p>
            <w:pPr>
              <w:spacing w:line="440" w:lineRule="exact"/>
              <w:jc w:val="left"/>
              <w:rPr>
                <w:rFonts w:ascii="宋体" w:hAnsi="宋体"/>
                <w:color w:val="000000"/>
                <w:sz w:val="24"/>
                <w:szCs w:val="24"/>
              </w:rPr>
            </w:pPr>
          </w:p>
        </w:tc>
        <w:tc>
          <w:tcPr>
            <w:tcW w:w="590" w:type="dxa"/>
            <w:vAlign w:val="center"/>
          </w:tcPr>
          <w:p>
            <w:pPr>
              <w:spacing w:line="440" w:lineRule="exact"/>
              <w:jc w:val="left"/>
              <w:rPr>
                <w:rFonts w:ascii="宋体" w:hAnsi="宋体"/>
                <w:color w:val="000000"/>
                <w:sz w:val="24"/>
                <w:szCs w:val="24"/>
              </w:rPr>
            </w:pPr>
          </w:p>
        </w:tc>
        <w:tc>
          <w:tcPr>
            <w:tcW w:w="1136" w:type="dxa"/>
            <w:tcMar>
              <w:left w:w="0" w:type="dxa"/>
              <w:right w:w="0" w:type="dxa"/>
            </w:tcMar>
            <w:vAlign w:val="center"/>
          </w:tcPr>
          <w:p>
            <w:pPr>
              <w:spacing w:line="440" w:lineRule="exact"/>
              <w:ind w:right="315"/>
              <w:jc w:val="right"/>
              <w:rPr>
                <w:rFonts w:ascii="宋体" w:hAnsi="宋体"/>
                <w:sz w:val="21"/>
                <w:szCs w:val="21"/>
              </w:rPr>
            </w:pPr>
          </w:p>
        </w:tc>
        <w:tc>
          <w:tcPr>
            <w:tcW w:w="1334" w:type="dxa"/>
            <w:tcMar>
              <w:left w:w="0" w:type="dxa"/>
              <w:right w:w="0" w:type="dxa"/>
            </w:tcMar>
            <w:vAlign w:val="center"/>
          </w:tcPr>
          <w:p>
            <w:pPr>
              <w:jc w:val="right"/>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27" w:type="dxa"/>
            <w:vMerge w:val="continue"/>
            <w:vAlign w:val="center"/>
          </w:tcPr>
          <w:p>
            <w:pPr>
              <w:spacing w:line="440" w:lineRule="exact"/>
              <w:ind w:right="95" w:rightChars="34"/>
              <w:jc w:val="center"/>
              <w:rPr>
                <w:rFonts w:ascii="宋体" w:hAnsi="宋体"/>
                <w:sz w:val="21"/>
                <w:szCs w:val="21"/>
              </w:rPr>
            </w:pPr>
          </w:p>
        </w:tc>
        <w:tc>
          <w:tcPr>
            <w:tcW w:w="9235" w:type="dxa"/>
            <w:gridSpan w:val="7"/>
            <w:vAlign w:val="center"/>
          </w:tcPr>
          <w:p>
            <w:pPr>
              <w:jc w:val="left"/>
              <w:rPr>
                <w:rFonts w:ascii="宋体" w:hAnsi="宋体"/>
                <w:sz w:val="21"/>
                <w:szCs w:val="21"/>
              </w:rPr>
            </w:pPr>
            <w:r>
              <w:rPr>
                <w:rFonts w:hint="eastAsia" w:ascii="宋体" w:hAnsi="宋体"/>
                <w:sz w:val="21"/>
                <w:szCs w:val="21"/>
              </w:rPr>
              <w:t>技术指标：</w:t>
            </w:r>
          </w:p>
        </w:tc>
      </w:tr>
    </w:tbl>
    <w:p>
      <w:pPr>
        <w:spacing w:line="440" w:lineRule="exact"/>
        <w:ind w:right="95" w:rightChars="34"/>
        <w:jc w:val="left"/>
        <w:rPr>
          <w:rFonts w:ascii="宋体" w:hAnsi="宋体"/>
          <w:sz w:val="24"/>
          <w:szCs w:val="24"/>
        </w:rPr>
      </w:pPr>
      <w:r>
        <w:rPr>
          <w:rFonts w:hint="eastAsia" w:ascii="宋体" w:hAnsi="宋体"/>
          <w:sz w:val="24"/>
          <w:szCs w:val="24"/>
        </w:rPr>
        <w:t>备注：采购内容与本合同各项文件发生抵触的，按本合同第10.1条执行；</w:t>
      </w:r>
    </w:p>
    <w:p>
      <w:pPr>
        <w:spacing w:before="240"/>
        <w:ind w:firstLine="371" w:firstLineChars="132"/>
        <w:jc w:val="left"/>
        <w:outlineLvl w:val="0"/>
        <w:rPr>
          <w:rFonts w:ascii="Calibri Light" w:hAnsi="Calibri Light"/>
          <w:b/>
          <w:bCs/>
        </w:rPr>
      </w:pPr>
      <w:r>
        <w:rPr>
          <w:rFonts w:hint="eastAsia" w:ascii="Calibri Light" w:hAnsi="Calibri Light"/>
          <w:b/>
          <w:bCs/>
        </w:rPr>
        <w:t>二、合同总价</w:t>
      </w:r>
    </w:p>
    <w:p>
      <w:pPr>
        <w:spacing w:line="400" w:lineRule="exact"/>
        <w:ind w:firstLine="420" w:firstLineChars="175"/>
        <w:rPr>
          <w:rFonts w:ascii="宋体" w:hAnsi="宋体"/>
          <w:sz w:val="24"/>
          <w:szCs w:val="24"/>
        </w:rPr>
      </w:pPr>
      <w:r>
        <w:rPr>
          <w:rFonts w:hint="eastAsia" w:ascii="宋体" w:hAnsi="宋体"/>
          <w:sz w:val="24"/>
          <w:szCs w:val="24"/>
        </w:rPr>
        <w:t>2.1合同总价为人民币大写：</w:t>
      </w:r>
      <w:r>
        <w:rPr>
          <w:rFonts w:hint="eastAsia" w:ascii="宋体" w:hAnsi="宋体"/>
          <w:sz w:val="24"/>
          <w:szCs w:val="24"/>
          <w:u w:val="single"/>
        </w:rPr>
        <w:t xml:space="preserve">                </w:t>
      </w:r>
      <w:r>
        <w:rPr>
          <w:rFonts w:hint="eastAsia" w:ascii="宋体" w:hAnsi="宋体"/>
          <w:sz w:val="24"/>
          <w:szCs w:val="24"/>
        </w:rPr>
        <w:t>元整，小写：</w:t>
      </w:r>
      <w:r>
        <w:rPr>
          <w:rFonts w:hint="eastAsia"/>
          <w:bCs/>
          <w:color w:val="000000"/>
          <w:sz w:val="24"/>
          <w:szCs w:val="24"/>
        </w:rPr>
        <w:t>￥</w:t>
      </w:r>
      <w:r>
        <w:rPr>
          <w:rFonts w:hint="eastAsia" w:ascii="宋体" w:hAnsi="宋体"/>
          <w:sz w:val="24"/>
          <w:szCs w:val="24"/>
          <w:u w:val="single"/>
        </w:rPr>
        <w:t xml:space="preserve">        </w:t>
      </w:r>
      <w:r>
        <w:rPr>
          <w:rFonts w:hint="eastAsia" w:ascii="宋体" w:hAnsi="宋体"/>
          <w:sz w:val="24"/>
          <w:szCs w:val="24"/>
        </w:rPr>
        <w:t>。</w:t>
      </w:r>
    </w:p>
    <w:p>
      <w:pPr>
        <w:spacing w:line="400" w:lineRule="exact"/>
        <w:ind w:firstLine="420" w:firstLineChars="175"/>
        <w:rPr>
          <w:rFonts w:ascii="宋体" w:hAnsi="宋体"/>
          <w:sz w:val="24"/>
          <w:szCs w:val="24"/>
        </w:rPr>
      </w:pPr>
      <w:r>
        <w:rPr>
          <w:rFonts w:hint="eastAsia" w:ascii="宋体" w:hAnsi="宋体"/>
          <w:sz w:val="24"/>
          <w:szCs w:val="24"/>
        </w:rPr>
        <w:t>2.2本合同执行固定单价不变，不因市场价格的波动而波动。合同总价包括但不限于货物价格、运输费（含保险费）、装卸费、安装调试费、检测验收费、培训费、售后服务费等所有费用，和供方为完成本项目所需缴纳的一切相关税、费；需方无须另向供方支付其他任何费用。</w:t>
      </w:r>
    </w:p>
    <w:p>
      <w:pPr>
        <w:spacing w:line="400" w:lineRule="exact"/>
        <w:ind w:firstLine="420" w:firstLineChars="175"/>
        <w:rPr>
          <w:rFonts w:ascii="宋体" w:hAnsi="宋体"/>
          <w:sz w:val="24"/>
          <w:szCs w:val="24"/>
        </w:rPr>
      </w:pPr>
      <w:r>
        <w:rPr>
          <w:rFonts w:hint="eastAsia" w:ascii="宋体" w:hAnsi="宋体"/>
          <w:sz w:val="24"/>
          <w:szCs w:val="24"/>
        </w:rPr>
        <w:t>2.3本项目执行合同总价包干方式，超出不补，减少按实结算。</w:t>
      </w:r>
    </w:p>
    <w:p>
      <w:pPr>
        <w:spacing w:before="240"/>
        <w:ind w:firstLine="495" w:firstLineChars="176"/>
        <w:jc w:val="left"/>
        <w:outlineLvl w:val="0"/>
        <w:rPr>
          <w:rFonts w:ascii="Calibri Light" w:hAnsi="Calibri Light"/>
          <w:b/>
          <w:bCs/>
        </w:rPr>
      </w:pPr>
      <w:r>
        <w:rPr>
          <w:rFonts w:hint="eastAsia" w:ascii="Calibri Light" w:hAnsi="Calibri Light"/>
          <w:b/>
          <w:bCs/>
        </w:rPr>
        <w:t>三、质量要求与技术标准</w:t>
      </w:r>
    </w:p>
    <w:p>
      <w:pPr>
        <w:spacing w:line="400" w:lineRule="exact"/>
        <w:ind w:firstLine="480" w:firstLineChars="200"/>
        <w:rPr>
          <w:rFonts w:ascii="宋体" w:hAnsi="宋体"/>
          <w:sz w:val="24"/>
          <w:szCs w:val="24"/>
        </w:rPr>
      </w:pPr>
      <w:r>
        <w:rPr>
          <w:rFonts w:hint="eastAsia" w:ascii="宋体" w:hAnsi="宋体"/>
          <w:sz w:val="24"/>
          <w:szCs w:val="24"/>
        </w:rPr>
        <w:t>3.1供方须提供全新的、原厂包装的货物（含零部件、配件、附件、随机工具等），表面无划伤、无碰撞痕迹，内部无瑕疵。供方不收回包装。</w:t>
      </w:r>
    </w:p>
    <w:p>
      <w:pPr>
        <w:spacing w:line="400" w:lineRule="exact"/>
        <w:ind w:firstLine="480" w:firstLineChars="200"/>
        <w:rPr>
          <w:rFonts w:ascii="宋体" w:hAnsi="宋体"/>
          <w:sz w:val="24"/>
          <w:szCs w:val="24"/>
        </w:rPr>
      </w:pPr>
      <w:r>
        <w:rPr>
          <w:rFonts w:hint="eastAsia" w:ascii="宋体" w:hAnsi="宋体"/>
          <w:sz w:val="24"/>
          <w:szCs w:val="24"/>
        </w:rPr>
        <w:t>3.2供方提供的货物应完全符合本合同及各项文件中需方提出的，以及供方承诺的产品名称、品牌、型号、产地及生产厂商、规格配置、参数性能等各项要求与使用目的，应能够正常运行与使用。</w:t>
      </w:r>
    </w:p>
    <w:p>
      <w:pPr>
        <w:spacing w:line="400" w:lineRule="exact"/>
        <w:ind w:firstLine="480" w:firstLineChars="200"/>
        <w:rPr>
          <w:rFonts w:ascii="宋体" w:hAnsi="宋体"/>
          <w:sz w:val="24"/>
          <w:szCs w:val="24"/>
        </w:rPr>
      </w:pPr>
      <w:r>
        <w:rPr>
          <w:rFonts w:hint="eastAsia" w:ascii="宋体" w:hAnsi="宋体"/>
          <w:sz w:val="24"/>
          <w:szCs w:val="24"/>
        </w:rPr>
        <w:t>3.3供方提供的货物必须符合国家、行业、生产厂商及本合同各项文件要求的技术标准、安全质量标准、环保标准、售后服务标准。</w:t>
      </w:r>
    </w:p>
    <w:p>
      <w:pPr>
        <w:spacing w:line="400" w:lineRule="exact"/>
        <w:ind w:firstLine="480" w:firstLineChars="200"/>
        <w:rPr>
          <w:rFonts w:ascii="宋体" w:hAnsi="宋体"/>
          <w:sz w:val="24"/>
          <w:szCs w:val="24"/>
        </w:rPr>
      </w:pPr>
      <w:r>
        <w:rPr>
          <w:rFonts w:hint="eastAsia" w:ascii="宋体" w:hAnsi="宋体"/>
          <w:sz w:val="24"/>
          <w:szCs w:val="24"/>
        </w:rPr>
        <w:t>上述标准为协议签订时有效的最新标准。上述</w:t>
      </w:r>
      <w:r>
        <w:rPr>
          <w:rFonts w:hint="eastAsia" w:ascii="宋体" w:hAnsi="宋体" w:cs="Arial"/>
          <w:sz w:val="24"/>
          <w:szCs w:val="24"/>
        </w:rPr>
        <w:t>标准不一致的，以要求高者为准</w:t>
      </w:r>
      <w:r>
        <w:rPr>
          <w:rFonts w:hint="eastAsia" w:ascii="宋体" w:hAnsi="宋体"/>
          <w:sz w:val="24"/>
          <w:szCs w:val="24"/>
        </w:rPr>
        <w:t>。</w:t>
      </w:r>
    </w:p>
    <w:p>
      <w:pPr>
        <w:spacing w:line="400" w:lineRule="exact"/>
        <w:ind w:firstLine="480" w:firstLineChars="200"/>
        <w:rPr>
          <w:rFonts w:ascii="宋体" w:hAnsi="宋体"/>
          <w:sz w:val="24"/>
          <w:szCs w:val="24"/>
        </w:rPr>
      </w:pPr>
      <w:r>
        <w:rPr>
          <w:rFonts w:hint="eastAsia" w:ascii="宋体" w:hAnsi="宋体"/>
          <w:sz w:val="24"/>
          <w:szCs w:val="24"/>
        </w:rPr>
        <w:t>3.4</w:t>
      </w:r>
      <w:r>
        <w:rPr>
          <w:rFonts w:hint="eastAsia" w:ascii="宋体" w:hAnsi="宋体" w:cs="宋体"/>
          <w:kern w:val="0"/>
          <w:sz w:val="24"/>
          <w:szCs w:val="21"/>
        </w:rPr>
        <w:t>供方承诺并保证对其所提供的货物均享有合法权利的，不会侵犯第三方知识产权、所有权及其它合法权益。</w:t>
      </w:r>
    </w:p>
    <w:p>
      <w:pPr>
        <w:spacing w:line="400" w:lineRule="exact"/>
        <w:ind w:firstLine="480" w:firstLineChars="200"/>
        <w:rPr>
          <w:rFonts w:ascii="宋体" w:hAnsi="宋体"/>
          <w:vanish/>
          <w:sz w:val="24"/>
          <w:szCs w:val="24"/>
        </w:rPr>
      </w:pPr>
      <w:r>
        <w:rPr>
          <w:rFonts w:hint="eastAsia" w:ascii="宋体" w:hAnsi="宋体"/>
          <w:vanish/>
          <w:sz w:val="24"/>
          <w:szCs w:val="24"/>
        </w:rPr>
        <w:t>3.5</w:t>
      </w:r>
      <w:r>
        <w:rPr>
          <w:rFonts w:hint="eastAsia" w:cs="宋体"/>
          <w:vanish/>
          <w:sz w:val="24"/>
          <w:szCs w:val="24"/>
          <w:u w:val="single"/>
        </w:rPr>
        <w:t>（</w:t>
      </w:r>
      <w:r>
        <w:rPr>
          <w:rFonts w:hint="eastAsia" w:ascii="宋体" w:hAnsi="宋体"/>
          <w:vanish/>
          <w:color w:val="FF0000"/>
          <w:sz w:val="24"/>
          <w:szCs w:val="24"/>
          <w:u w:val="single"/>
        </w:rPr>
        <w:t>采购文件对技术标准有详细要求的，可于本款载明；</w:t>
      </w:r>
      <w:r>
        <w:rPr>
          <w:rFonts w:hint="eastAsia" w:cs="宋体"/>
          <w:vanish/>
          <w:color w:val="FF0000"/>
          <w:sz w:val="24"/>
          <w:szCs w:val="24"/>
        </w:rPr>
        <w:t>此条款根据投标或响应文件承诺内容选择填写</w:t>
      </w:r>
      <w:r>
        <w:rPr>
          <w:rFonts w:hint="eastAsia" w:cs="宋体"/>
          <w:vanish/>
          <w:sz w:val="24"/>
          <w:szCs w:val="24"/>
          <w:u w:val="single"/>
        </w:rPr>
        <w:t>）。</w:t>
      </w:r>
    </w:p>
    <w:p>
      <w:pPr>
        <w:spacing w:before="240"/>
        <w:ind w:firstLine="424" w:firstLineChars="151"/>
        <w:jc w:val="left"/>
        <w:outlineLvl w:val="0"/>
        <w:rPr>
          <w:rFonts w:ascii="Calibri Light" w:hAnsi="Calibri Light"/>
          <w:b/>
          <w:bCs/>
        </w:rPr>
      </w:pPr>
      <w:r>
        <w:rPr>
          <w:rFonts w:hint="eastAsia" w:ascii="Calibri Light" w:hAnsi="Calibri Light"/>
          <w:b/>
          <w:bCs/>
        </w:rPr>
        <w:t>四、交货及验收</w:t>
      </w:r>
    </w:p>
    <w:p>
      <w:pPr>
        <w:spacing w:line="400" w:lineRule="exact"/>
        <w:ind w:firstLine="480" w:firstLineChars="200"/>
        <w:rPr>
          <w:rFonts w:ascii="宋体" w:hAnsi="宋体"/>
          <w:sz w:val="24"/>
          <w:szCs w:val="24"/>
        </w:rPr>
      </w:pPr>
      <w:r>
        <w:rPr>
          <w:rFonts w:hint="eastAsia" w:ascii="宋体" w:hAnsi="宋体"/>
          <w:sz w:val="24"/>
          <w:szCs w:val="24"/>
        </w:rPr>
        <w:t>4.1交货期限、地点、方式</w:t>
      </w:r>
    </w:p>
    <w:p>
      <w:pPr>
        <w:spacing w:line="400" w:lineRule="exact"/>
        <w:ind w:firstLine="480" w:firstLineChars="200"/>
        <w:rPr>
          <w:rFonts w:ascii="宋体" w:hAnsi="宋体"/>
          <w:sz w:val="24"/>
          <w:szCs w:val="24"/>
        </w:rPr>
      </w:pPr>
      <w:r>
        <w:rPr>
          <w:rFonts w:hint="eastAsia" w:ascii="宋体" w:hAnsi="宋体"/>
          <w:sz w:val="24"/>
          <w:szCs w:val="24"/>
        </w:rPr>
        <w:t>4.1.1交货期限：供方应在合同签订生效后的</w:t>
      </w:r>
      <w:r>
        <w:rPr>
          <w:rFonts w:hint="eastAsia" w:ascii="宋体" w:hAnsi="宋体"/>
          <w:sz w:val="24"/>
          <w:szCs w:val="24"/>
          <w:u w:val="single"/>
        </w:rPr>
        <w:t xml:space="preserve">     </w:t>
      </w:r>
      <w:r>
        <w:rPr>
          <w:rFonts w:hint="eastAsia" w:ascii="宋体" w:hAnsi="宋体"/>
          <w:sz w:val="24"/>
          <w:szCs w:val="24"/>
        </w:rPr>
        <w:t>日内完全交货。供方应在交货前至少提前</w:t>
      </w:r>
      <w:r>
        <w:rPr>
          <w:rFonts w:hint="eastAsia" w:ascii="宋体" w:hAnsi="宋体"/>
          <w:sz w:val="24"/>
          <w:szCs w:val="24"/>
          <w:u w:val="single"/>
        </w:rPr>
        <w:t xml:space="preserve">     </w:t>
      </w:r>
      <w:r>
        <w:rPr>
          <w:rFonts w:hint="eastAsia" w:ascii="宋体" w:hAnsi="宋体"/>
          <w:sz w:val="24"/>
          <w:szCs w:val="24"/>
        </w:rPr>
        <w:t>工作日以书面或电子文件形式通知需方准备收货。</w:t>
      </w:r>
    </w:p>
    <w:p>
      <w:pPr>
        <w:spacing w:line="400" w:lineRule="exact"/>
        <w:ind w:firstLine="480" w:firstLineChars="200"/>
        <w:rPr>
          <w:rFonts w:ascii="宋体" w:hAnsi="宋体"/>
          <w:sz w:val="24"/>
          <w:szCs w:val="24"/>
        </w:rPr>
      </w:pPr>
      <w:r>
        <w:rPr>
          <w:rFonts w:hint="eastAsia" w:ascii="宋体" w:hAnsi="宋体"/>
          <w:sz w:val="24"/>
          <w:szCs w:val="24"/>
        </w:rPr>
        <w:t>4.1.2交货方式：供方免费</w:t>
      </w:r>
      <w:r>
        <w:rPr>
          <w:rFonts w:ascii="宋体" w:hAnsi="宋体"/>
          <w:sz w:val="24"/>
          <w:szCs w:val="24"/>
        </w:rPr>
        <w:t>送货到</w:t>
      </w:r>
      <w:r>
        <w:rPr>
          <w:rFonts w:hint="eastAsia" w:ascii="宋体" w:hAnsi="宋体"/>
          <w:sz w:val="24"/>
          <w:szCs w:val="24"/>
          <w:u w:val="single"/>
        </w:rPr>
        <w:t xml:space="preserve"> 西南大学 </w:t>
      </w:r>
      <w:r>
        <w:rPr>
          <w:rFonts w:hint="eastAsia" w:ascii="宋体" w:hAnsi="宋体"/>
          <w:sz w:val="24"/>
          <w:szCs w:val="24"/>
        </w:rPr>
        <w:t>指定位置，交需方用户单位。装卸和搬运均由供方负责，费用均由供方自行承担。</w:t>
      </w:r>
    </w:p>
    <w:p>
      <w:pPr>
        <w:spacing w:line="400" w:lineRule="exact"/>
        <w:ind w:firstLine="480" w:firstLineChars="200"/>
        <w:rPr>
          <w:rFonts w:ascii="宋体" w:hAnsi="宋体"/>
          <w:sz w:val="24"/>
          <w:szCs w:val="24"/>
        </w:rPr>
      </w:pPr>
      <w:r>
        <w:rPr>
          <w:rFonts w:hint="eastAsia" w:ascii="宋体" w:hAnsi="宋体"/>
          <w:sz w:val="24"/>
          <w:szCs w:val="24"/>
        </w:rPr>
        <w:t>4.1.3</w:t>
      </w:r>
      <w:r>
        <w:rPr>
          <w:rFonts w:hint="eastAsia" w:ascii="宋体" w:hAnsi="宋体" w:cs="宋体"/>
          <w:kern w:val="0"/>
          <w:sz w:val="24"/>
          <w:szCs w:val="21"/>
        </w:rPr>
        <w:t>需方指定收货人：</w:t>
      </w:r>
      <w:r>
        <w:rPr>
          <w:rFonts w:hint="eastAsia" w:ascii="宋体" w:hAnsi="宋体" w:cs="宋体"/>
          <w:kern w:val="0"/>
          <w:sz w:val="24"/>
          <w:szCs w:val="21"/>
          <w:u w:val="single"/>
        </w:rPr>
        <w:t xml:space="preserve">   邬晓鸥         </w:t>
      </w:r>
      <w:r>
        <w:rPr>
          <w:rFonts w:hint="eastAsia" w:ascii="宋体" w:hAnsi="宋体" w:cs="宋体"/>
          <w:kern w:val="0"/>
          <w:sz w:val="24"/>
          <w:szCs w:val="21"/>
        </w:rPr>
        <w:t>，电话:</w:t>
      </w:r>
      <w:r>
        <w:rPr>
          <w:rFonts w:hint="eastAsia" w:ascii="宋体" w:hAnsi="宋体" w:cs="宋体"/>
          <w:kern w:val="0"/>
          <w:sz w:val="24"/>
          <w:szCs w:val="21"/>
          <w:u w:val="single"/>
        </w:rPr>
        <w:t xml:space="preserve">   </w:t>
      </w:r>
      <w:r>
        <w:rPr>
          <w:rFonts w:ascii="宋体" w:hAnsi="宋体" w:cs="宋体"/>
          <w:kern w:val="0"/>
          <w:sz w:val="24"/>
          <w:szCs w:val="21"/>
          <w:u w:val="single"/>
        </w:rPr>
        <w:t>68252544</w:t>
      </w:r>
      <w:r>
        <w:rPr>
          <w:rFonts w:hint="eastAsia" w:ascii="宋体" w:hAnsi="宋体" w:cs="宋体"/>
          <w:kern w:val="0"/>
          <w:sz w:val="24"/>
          <w:szCs w:val="21"/>
          <w:u w:val="single"/>
        </w:rPr>
        <w:t xml:space="preserve">   </w:t>
      </w:r>
      <w:r>
        <w:rPr>
          <w:rFonts w:hint="eastAsia" w:ascii="宋体" w:hAnsi="宋体" w:cs="宋体"/>
          <w:kern w:val="0"/>
          <w:sz w:val="24"/>
          <w:szCs w:val="21"/>
        </w:rPr>
        <w:t>。</w:t>
      </w:r>
    </w:p>
    <w:p>
      <w:pPr>
        <w:spacing w:line="400" w:lineRule="exact"/>
        <w:ind w:firstLine="480" w:firstLineChars="200"/>
        <w:rPr>
          <w:rFonts w:ascii="宋体" w:hAnsi="宋体"/>
          <w:sz w:val="24"/>
          <w:szCs w:val="24"/>
        </w:rPr>
      </w:pPr>
      <w:r>
        <w:rPr>
          <w:rFonts w:hint="eastAsia" w:ascii="宋体" w:hAnsi="宋体"/>
          <w:sz w:val="24"/>
          <w:szCs w:val="24"/>
        </w:rPr>
        <w:t>4.2外观和数量验收</w:t>
      </w:r>
    </w:p>
    <w:p>
      <w:pPr>
        <w:spacing w:line="400" w:lineRule="exact"/>
        <w:ind w:firstLine="480" w:firstLineChars="200"/>
        <w:rPr>
          <w:rFonts w:ascii="宋体" w:hAnsi="宋体"/>
          <w:sz w:val="24"/>
          <w:szCs w:val="24"/>
        </w:rPr>
      </w:pPr>
      <w:r>
        <w:rPr>
          <w:rFonts w:hint="eastAsia" w:ascii="宋体" w:hAnsi="宋体"/>
          <w:sz w:val="24"/>
          <w:szCs w:val="24"/>
        </w:rPr>
        <w:t>4.2.1交货时，由供方和需方用户单位当场进行货物品名、数量、品牌、产地及生产厂商、型号及外观验收，并形成书面验收记录。货物零部件、配件、附件、随机工具等的外观和数量验收以配置清单为准。</w:t>
      </w:r>
    </w:p>
    <w:p>
      <w:pPr>
        <w:spacing w:line="400" w:lineRule="exact"/>
        <w:ind w:firstLine="480" w:firstLineChars="200"/>
        <w:rPr>
          <w:rFonts w:ascii="宋体" w:hAnsi="宋体"/>
          <w:sz w:val="24"/>
          <w:szCs w:val="24"/>
        </w:rPr>
      </w:pPr>
      <w:r>
        <w:rPr>
          <w:rFonts w:hint="eastAsia" w:ascii="宋体" w:hAnsi="宋体"/>
          <w:sz w:val="24"/>
          <w:szCs w:val="24"/>
        </w:rPr>
        <w:t>4.2.2外观和数量验收记录由需方指定收货人签字，并加盖用户单位公章方为有效。外观和数量验收记录</w:t>
      </w:r>
      <w:r>
        <w:rPr>
          <w:rFonts w:hint="eastAsia" w:ascii="宋体" w:hAnsi="宋体" w:cs="宋体"/>
          <w:kern w:val="0"/>
          <w:sz w:val="24"/>
          <w:szCs w:val="21"/>
        </w:rPr>
        <w:t>仅证明已按现状收到若干具体单位数量的货物。</w:t>
      </w:r>
    </w:p>
    <w:p>
      <w:pPr>
        <w:spacing w:line="400" w:lineRule="exact"/>
        <w:ind w:firstLine="480" w:firstLineChars="200"/>
        <w:rPr>
          <w:rFonts w:ascii="宋体" w:hAnsi="宋体"/>
          <w:sz w:val="24"/>
          <w:szCs w:val="24"/>
        </w:rPr>
      </w:pPr>
      <w:r>
        <w:rPr>
          <w:rFonts w:hint="eastAsia" w:ascii="宋体" w:hAnsi="宋体"/>
          <w:sz w:val="24"/>
          <w:szCs w:val="24"/>
        </w:rPr>
        <w:t>4.3供方应于交货后</w:t>
      </w:r>
      <w:r>
        <w:rPr>
          <w:rFonts w:hint="eastAsia" w:ascii="宋体" w:hAnsi="宋体"/>
          <w:sz w:val="24"/>
          <w:szCs w:val="24"/>
          <w:u w:val="single"/>
        </w:rPr>
        <w:t xml:space="preserve"> </w:t>
      </w:r>
      <w:r>
        <w:rPr>
          <w:rFonts w:hint="eastAsia" w:ascii="宋体" w:hAnsi="宋体"/>
          <w:color w:val="FF0000"/>
          <w:sz w:val="24"/>
          <w:szCs w:val="24"/>
          <w:u w:val="single"/>
        </w:rPr>
        <w:t xml:space="preserve"> </w:t>
      </w:r>
      <w:r>
        <w:rPr>
          <w:rFonts w:hint="eastAsia" w:ascii="宋体" w:hAnsi="宋体"/>
          <w:sz w:val="24"/>
          <w:szCs w:val="24"/>
        </w:rPr>
        <w:t>个工作日内，或者于需方用户单位指定时间内派专业人员到现场免费安装调试，并达到正常运行状态。</w:t>
      </w:r>
    </w:p>
    <w:p>
      <w:pPr>
        <w:spacing w:line="400" w:lineRule="exact"/>
        <w:ind w:firstLine="480" w:firstLineChars="200"/>
        <w:rPr>
          <w:rFonts w:ascii="宋体" w:hAnsi="宋体"/>
          <w:sz w:val="24"/>
          <w:szCs w:val="24"/>
        </w:rPr>
      </w:pPr>
      <w:r>
        <w:rPr>
          <w:rFonts w:hint="eastAsia" w:ascii="宋体" w:hAnsi="宋体"/>
          <w:sz w:val="24"/>
          <w:szCs w:val="24"/>
        </w:rPr>
        <w:t>4.4质量性能验收</w:t>
      </w:r>
      <w:r>
        <w:rPr>
          <w:rFonts w:hint="eastAsia" w:cs="宋体"/>
          <w:vanish/>
          <w:color w:val="FF0000"/>
          <w:sz w:val="24"/>
          <w:szCs w:val="24"/>
        </w:rPr>
        <w:t>（此条款根据投标或响应文件承诺内容选择填写）</w:t>
      </w:r>
    </w:p>
    <w:p>
      <w:pPr>
        <w:spacing w:line="400" w:lineRule="exact"/>
        <w:ind w:firstLine="480" w:firstLineChars="200"/>
        <w:rPr>
          <w:rFonts w:ascii="宋体" w:hAnsi="宋体" w:cs="Arial"/>
          <w:color w:val="000000"/>
          <w:sz w:val="24"/>
          <w:szCs w:val="24"/>
        </w:rPr>
      </w:pPr>
      <w:r>
        <w:rPr>
          <w:rFonts w:hint="eastAsia" w:ascii="宋体" w:hAnsi="宋体" w:cs="Arial"/>
          <w:color w:val="000000"/>
          <w:sz w:val="24"/>
          <w:szCs w:val="24"/>
        </w:rPr>
        <w:t>4.4.1</w:t>
      </w:r>
      <w:r>
        <w:rPr>
          <w:rFonts w:hint="eastAsia" w:ascii="宋体" w:hAnsi="宋体" w:cs="Arial"/>
          <w:sz w:val="24"/>
          <w:szCs w:val="24"/>
        </w:rPr>
        <w:t>安装调试完毕并试运行</w:t>
      </w:r>
      <w:r>
        <w:rPr>
          <w:rFonts w:hint="eastAsia" w:ascii="宋体" w:hAnsi="宋体" w:cs="Arial"/>
          <w:sz w:val="24"/>
          <w:szCs w:val="24"/>
          <w:u w:val="single"/>
        </w:rPr>
        <w:t xml:space="preserve">   </w:t>
      </w:r>
      <w:r>
        <w:rPr>
          <w:rFonts w:hint="eastAsia" w:ascii="宋体" w:hAnsi="宋体" w:cs="Arial"/>
          <w:sz w:val="24"/>
          <w:szCs w:val="24"/>
        </w:rPr>
        <w:t>个工作</w:t>
      </w:r>
      <w:r>
        <w:rPr>
          <w:rFonts w:ascii="宋体" w:hAnsi="宋体" w:cs="Arial"/>
          <w:sz w:val="24"/>
          <w:szCs w:val="24"/>
        </w:rPr>
        <w:t>日</w:t>
      </w:r>
      <w:r>
        <w:rPr>
          <w:rFonts w:hint="eastAsia" w:ascii="宋体" w:hAnsi="宋体" w:cs="Arial"/>
          <w:sz w:val="24"/>
          <w:szCs w:val="24"/>
        </w:rPr>
        <w:t>后，供方可提出书面验收申请。货物</w:t>
      </w:r>
      <w:r>
        <w:rPr>
          <w:rFonts w:hint="eastAsia" w:ascii="宋体" w:hAnsi="宋体" w:cs="Arial"/>
          <w:color w:val="000000"/>
          <w:sz w:val="24"/>
          <w:szCs w:val="24"/>
        </w:rPr>
        <w:t>采用以下第</w:t>
      </w:r>
      <w:r>
        <w:rPr>
          <w:rFonts w:hint="eastAsia" w:ascii="宋体" w:hAnsi="宋体" w:cs="Arial"/>
          <w:color w:val="000000"/>
          <w:sz w:val="24"/>
          <w:szCs w:val="24"/>
          <w:u w:val="single"/>
        </w:rPr>
        <w:t>（    ）</w:t>
      </w:r>
      <w:r>
        <w:rPr>
          <w:rFonts w:hint="eastAsia" w:ascii="宋体" w:hAnsi="宋体" w:cs="Arial"/>
          <w:color w:val="000000"/>
          <w:sz w:val="24"/>
          <w:szCs w:val="24"/>
        </w:rPr>
        <w:t>种方式进行质量性能验收：</w:t>
      </w:r>
    </w:p>
    <w:p>
      <w:pPr>
        <w:spacing w:line="400" w:lineRule="exact"/>
        <w:ind w:firstLine="480" w:firstLineChars="200"/>
        <w:rPr>
          <w:rFonts w:ascii="宋体" w:hAnsi="宋体" w:cs="Arial"/>
          <w:sz w:val="24"/>
          <w:szCs w:val="24"/>
        </w:rPr>
      </w:pPr>
      <w:r>
        <w:rPr>
          <w:rFonts w:hint="eastAsia" w:ascii="宋体" w:hAnsi="宋体" w:cs="Arial"/>
          <w:sz w:val="24"/>
          <w:szCs w:val="24"/>
        </w:rPr>
        <w:t>（1）</w:t>
      </w:r>
      <w:r>
        <w:rPr>
          <w:rFonts w:ascii="宋体" w:hAnsi="宋体" w:cs="Arial"/>
          <w:sz w:val="24"/>
          <w:szCs w:val="24"/>
        </w:rPr>
        <w:t>由</w:t>
      </w:r>
      <w:r>
        <w:rPr>
          <w:rFonts w:hint="eastAsia" w:ascii="宋体" w:hAnsi="宋体" w:cs="Arial"/>
          <w:sz w:val="24"/>
          <w:szCs w:val="24"/>
        </w:rPr>
        <w:t>需方组织质量性能验收，供方配合进行；验收合格的，由需方出具质量性能验收报告，验收合格时间以报告中需方确认的最后时间为准。</w:t>
      </w:r>
    </w:p>
    <w:p>
      <w:pPr>
        <w:spacing w:line="400" w:lineRule="exact"/>
        <w:ind w:firstLine="480" w:firstLineChars="200"/>
        <w:rPr>
          <w:rFonts w:ascii="宋体" w:hAnsi="宋体" w:cs="Arial"/>
          <w:sz w:val="24"/>
          <w:szCs w:val="24"/>
        </w:rPr>
      </w:pPr>
      <w:r>
        <w:rPr>
          <w:rFonts w:hint="eastAsia" w:ascii="宋体" w:hAnsi="宋体" w:cs="Arial"/>
          <w:sz w:val="24"/>
          <w:szCs w:val="24"/>
        </w:rPr>
        <w:t>（</w:t>
      </w:r>
      <w:r>
        <w:rPr>
          <w:rFonts w:ascii="宋体" w:hAnsi="宋体" w:cs="Arial"/>
          <w:sz w:val="24"/>
          <w:szCs w:val="24"/>
        </w:rPr>
        <w:t>2</w:t>
      </w:r>
      <w:r>
        <w:rPr>
          <w:rFonts w:hint="eastAsia" w:ascii="宋体" w:hAnsi="宋体" w:cs="Arial"/>
          <w:sz w:val="24"/>
          <w:szCs w:val="24"/>
        </w:rPr>
        <w:t>）由</w:t>
      </w:r>
      <w:r>
        <w:rPr>
          <w:rFonts w:hint="eastAsia" w:ascii="宋体" w:hAnsi="宋体" w:cs="Arial"/>
          <w:sz w:val="24"/>
          <w:szCs w:val="24"/>
          <w:u w:val="single"/>
        </w:rPr>
        <w:t xml:space="preserve">   </w:t>
      </w:r>
      <w:r>
        <w:rPr>
          <w:rFonts w:ascii="宋体" w:hAnsi="宋体" w:cs="Arial"/>
          <w:sz w:val="24"/>
          <w:szCs w:val="24"/>
          <w:u w:val="single"/>
        </w:rPr>
        <w:t xml:space="preserve"> </w:t>
      </w:r>
      <w:r>
        <w:rPr>
          <w:rFonts w:hint="eastAsia" w:ascii="宋体" w:hAnsi="宋体" w:cs="Arial"/>
          <w:sz w:val="24"/>
          <w:szCs w:val="24"/>
        </w:rPr>
        <w:t>方聘请具有相应检验资格的中介机构进行检验，检验费用由</w:t>
      </w:r>
      <w:r>
        <w:rPr>
          <w:rFonts w:hint="eastAsia" w:ascii="宋体" w:hAnsi="宋体" w:cs="Arial"/>
          <w:sz w:val="24"/>
          <w:szCs w:val="24"/>
          <w:u w:val="single"/>
        </w:rPr>
        <w:t xml:space="preserve">   </w:t>
      </w:r>
      <w:r>
        <w:rPr>
          <w:rFonts w:ascii="宋体" w:hAnsi="宋体" w:cs="Arial"/>
          <w:sz w:val="24"/>
          <w:szCs w:val="24"/>
          <w:u w:val="single"/>
        </w:rPr>
        <w:t xml:space="preserve"> </w:t>
      </w:r>
      <w:r>
        <w:rPr>
          <w:rFonts w:hint="eastAsia" w:ascii="宋体" w:hAnsi="宋体" w:cs="Arial"/>
          <w:sz w:val="24"/>
          <w:szCs w:val="24"/>
        </w:rPr>
        <w:t>方承担。</w:t>
      </w:r>
    </w:p>
    <w:p>
      <w:pPr>
        <w:spacing w:line="400" w:lineRule="exact"/>
        <w:ind w:firstLine="480" w:firstLineChars="200"/>
        <w:rPr>
          <w:rFonts w:ascii="宋体" w:hAnsi="宋体" w:cs="Arial"/>
          <w:sz w:val="24"/>
          <w:szCs w:val="24"/>
        </w:rPr>
      </w:pPr>
      <w:r>
        <w:rPr>
          <w:rFonts w:hint="eastAsia" w:ascii="宋体" w:hAnsi="宋体" w:cs="Arial"/>
          <w:sz w:val="24"/>
          <w:szCs w:val="24"/>
        </w:rPr>
        <w:t>（</w:t>
      </w:r>
      <w:r>
        <w:rPr>
          <w:rFonts w:ascii="宋体" w:hAnsi="宋体" w:cs="Arial"/>
          <w:sz w:val="24"/>
          <w:szCs w:val="24"/>
        </w:rPr>
        <w:t>3</w:t>
      </w:r>
      <w:r>
        <w:rPr>
          <w:rFonts w:hint="eastAsia" w:ascii="宋体" w:hAnsi="宋体" w:cs="Arial"/>
          <w:sz w:val="24"/>
          <w:szCs w:val="24"/>
        </w:rPr>
        <w:t>）由</w:t>
      </w:r>
      <w:r>
        <w:rPr>
          <w:rFonts w:hint="eastAsia" w:ascii="宋体" w:hAnsi="宋体" w:cs="Arial"/>
          <w:sz w:val="24"/>
          <w:szCs w:val="24"/>
          <w:u w:val="single"/>
        </w:rPr>
        <w:t xml:space="preserve">    </w:t>
      </w:r>
      <w:r>
        <w:rPr>
          <w:rFonts w:hint="eastAsia" w:ascii="宋体" w:hAnsi="宋体" w:cs="Arial"/>
          <w:sz w:val="24"/>
          <w:szCs w:val="24"/>
        </w:rPr>
        <w:t>方提请政府机构进行检验，检验费用由</w:t>
      </w:r>
      <w:r>
        <w:rPr>
          <w:rFonts w:hint="eastAsia" w:ascii="宋体" w:hAnsi="宋体" w:cs="Arial"/>
          <w:sz w:val="24"/>
          <w:szCs w:val="24"/>
          <w:u w:val="single"/>
        </w:rPr>
        <w:t xml:space="preserve">    </w:t>
      </w:r>
      <w:r>
        <w:rPr>
          <w:rFonts w:hint="eastAsia" w:ascii="宋体" w:hAnsi="宋体" w:cs="Arial"/>
          <w:sz w:val="24"/>
          <w:szCs w:val="24"/>
        </w:rPr>
        <w:t>方承担；验收合格时间以需方收到政府机构检验合格报告时间为准。</w:t>
      </w:r>
    </w:p>
    <w:p>
      <w:pPr>
        <w:spacing w:line="400" w:lineRule="exact"/>
        <w:ind w:firstLine="480" w:firstLineChars="200"/>
        <w:rPr>
          <w:rFonts w:ascii="宋体" w:hAnsi="宋体" w:cs="Arial"/>
          <w:color w:val="000000"/>
          <w:sz w:val="24"/>
          <w:szCs w:val="24"/>
        </w:rPr>
      </w:pPr>
      <w:r>
        <w:rPr>
          <w:rFonts w:hint="eastAsia" w:ascii="宋体" w:hAnsi="宋体" w:cs="Arial"/>
          <w:color w:val="000000"/>
          <w:sz w:val="24"/>
          <w:szCs w:val="24"/>
        </w:rPr>
        <w:t>（</w:t>
      </w:r>
      <w:r>
        <w:rPr>
          <w:rFonts w:ascii="宋体" w:hAnsi="宋体" w:cs="Arial"/>
          <w:color w:val="000000"/>
          <w:sz w:val="24"/>
          <w:szCs w:val="24"/>
        </w:rPr>
        <w:t>4</w:t>
      </w:r>
      <w:r>
        <w:rPr>
          <w:rFonts w:hint="eastAsia" w:ascii="宋体" w:hAnsi="宋体" w:cs="Arial"/>
          <w:color w:val="000000"/>
          <w:sz w:val="24"/>
          <w:szCs w:val="24"/>
        </w:rPr>
        <w:t>）其他验收方式：</w:t>
      </w:r>
      <w:r>
        <w:rPr>
          <w:rFonts w:hint="eastAsia" w:ascii="宋体" w:hAnsi="宋体" w:cs="Arial"/>
          <w:color w:val="000000"/>
          <w:sz w:val="24"/>
          <w:szCs w:val="24"/>
          <w:u w:val="single"/>
        </w:rPr>
        <w:t xml:space="preserve">                                                         </w:t>
      </w:r>
      <w:r>
        <w:rPr>
          <w:rFonts w:hint="eastAsia" w:ascii="宋体" w:hAnsi="宋体" w:cs="Arial"/>
          <w:color w:val="000000"/>
          <w:sz w:val="24"/>
          <w:szCs w:val="24"/>
        </w:rPr>
        <w:t>。</w:t>
      </w:r>
    </w:p>
    <w:p>
      <w:pPr>
        <w:spacing w:line="360" w:lineRule="auto"/>
        <w:ind w:firstLine="480" w:firstLineChars="200"/>
        <w:rPr>
          <w:rFonts w:ascii="宋体" w:hAnsi="宋体" w:cs="Arial"/>
          <w:sz w:val="24"/>
          <w:szCs w:val="24"/>
        </w:rPr>
      </w:pPr>
      <w:r>
        <w:rPr>
          <w:rFonts w:hint="eastAsia" w:ascii="宋体" w:hAnsi="宋体" w:cs="Arial"/>
          <w:color w:val="000000"/>
          <w:sz w:val="24"/>
          <w:szCs w:val="24"/>
        </w:rPr>
        <w:t>4.4.2质量性能验收标准按本合同第三条约定的标准执行</w:t>
      </w:r>
      <w:r>
        <w:rPr>
          <w:rFonts w:ascii="宋体" w:hAnsi="宋体" w:cs="Arial"/>
          <w:sz w:val="24"/>
          <w:szCs w:val="24"/>
        </w:rPr>
        <w:t>。</w:t>
      </w:r>
    </w:p>
    <w:p>
      <w:pPr>
        <w:spacing w:line="360" w:lineRule="auto"/>
        <w:ind w:firstLine="480" w:firstLineChars="200"/>
        <w:rPr>
          <w:rFonts w:ascii="宋体" w:hAnsi="宋体" w:cs="Arial"/>
          <w:sz w:val="24"/>
          <w:szCs w:val="24"/>
        </w:rPr>
      </w:pPr>
      <w:r>
        <w:rPr>
          <w:rFonts w:hint="eastAsia" w:ascii="宋体" w:hAnsi="宋体" w:cs="Arial"/>
          <w:sz w:val="24"/>
          <w:szCs w:val="24"/>
        </w:rPr>
        <w:t>4.4.3若供方拒绝在验收不合格的报告上签字的，应在</w:t>
      </w:r>
      <w:r>
        <w:rPr>
          <w:rFonts w:hint="eastAsia" w:ascii="宋体" w:hAnsi="宋体" w:cs="Arial"/>
          <w:sz w:val="24"/>
          <w:szCs w:val="24"/>
          <w:u w:val="single"/>
        </w:rPr>
        <w:t xml:space="preserve">    </w:t>
      </w:r>
      <w:r>
        <w:rPr>
          <w:rFonts w:hint="eastAsia" w:ascii="宋体" w:hAnsi="宋体" w:cs="Arial"/>
          <w:sz w:val="24"/>
          <w:szCs w:val="24"/>
        </w:rPr>
        <w:t>日内提出书面意见，并提交相关证据证明，否则视为供方认可该验收报告。</w:t>
      </w:r>
    </w:p>
    <w:p>
      <w:pPr>
        <w:snapToGrid w:val="0"/>
        <w:spacing w:line="360" w:lineRule="auto"/>
        <w:ind w:firstLine="480" w:firstLineChars="200"/>
        <w:rPr>
          <w:rFonts w:ascii="宋体" w:hAnsi="宋体" w:cs="Arial"/>
          <w:color w:val="000000"/>
          <w:sz w:val="24"/>
          <w:szCs w:val="24"/>
        </w:rPr>
      </w:pPr>
      <w:r>
        <w:rPr>
          <w:rFonts w:hint="eastAsia" w:ascii="宋体" w:hAnsi="宋体" w:cs="Arial"/>
          <w:color w:val="000000"/>
          <w:sz w:val="24"/>
          <w:szCs w:val="24"/>
        </w:rPr>
        <w:t>4.5 供方应将所提供货物的清单、零部件、配件、附近、随机工具以及用户使用手册、</w:t>
      </w:r>
      <w:r>
        <w:rPr>
          <w:rFonts w:hint="eastAsia" w:ascii="宋体" w:hAnsi="宋体"/>
          <w:sz w:val="24"/>
          <w:szCs w:val="24"/>
        </w:rPr>
        <w:t>质量合格证书、保修证书、产品使用说明书</w:t>
      </w:r>
      <w:r>
        <w:rPr>
          <w:rFonts w:hint="eastAsia" w:ascii="宋体" w:hAnsi="宋体" w:cs="Arial"/>
          <w:color w:val="000000"/>
          <w:sz w:val="24"/>
          <w:szCs w:val="24"/>
        </w:rPr>
        <w:t>等资料按照本合同第4.1条、第4.2条之约定与货物一并交付给需方用户单位；供方不能完整交付货物及本款规定的单证和工具的，必须在交货期内限内补齐，</w:t>
      </w:r>
      <w:r>
        <w:rPr>
          <w:rFonts w:hint="eastAsia" w:ascii="宋体" w:hAnsi="宋体" w:cs="Arial"/>
          <w:sz w:val="24"/>
          <w:szCs w:val="24"/>
        </w:rPr>
        <w:t>否则视为未完全交货</w:t>
      </w:r>
      <w:r>
        <w:rPr>
          <w:rFonts w:hint="eastAsia" w:ascii="宋体" w:hAnsi="宋体" w:cs="Arial"/>
          <w:color w:val="000000"/>
          <w:sz w:val="24"/>
          <w:szCs w:val="24"/>
        </w:rPr>
        <w:t>。</w:t>
      </w:r>
    </w:p>
    <w:p>
      <w:pPr>
        <w:spacing w:line="360" w:lineRule="auto"/>
        <w:ind w:firstLine="480" w:firstLineChars="200"/>
        <w:rPr>
          <w:rFonts w:ascii="Arial" w:hAnsi="宋体" w:cs="Arial"/>
          <w:color w:val="000000"/>
          <w:sz w:val="24"/>
          <w:szCs w:val="24"/>
        </w:rPr>
      </w:pPr>
      <w:r>
        <w:rPr>
          <w:rFonts w:hint="eastAsia" w:ascii="宋体" w:hAnsi="宋体" w:cs="Arial"/>
          <w:color w:val="000000"/>
          <w:sz w:val="24"/>
          <w:szCs w:val="24"/>
        </w:rPr>
        <w:t>4.6</w:t>
      </w:r>
      <w:r>
        <w:rPr>
          <w:rFonts w:ascii="宋体" w:hAnsi="宋体" w:cs="Arial"/>
          <w:color w:val="000000"/>
          <w:sz w:val="24"/>
          <w:szCs w:val="24"/>
        </w:rPr>
        <w:t xml:space="preserve"> </w:t>
      </w:r>
      <w:r>
        <w:rPr>
          <w:rFonts w:hint="eastAsia" w:ascii="宋体" w:hAnsi="宋体" w:cs="Arial"/>
          <w:color w:val="000000"/>
          <w:sz w:val="24"/>
          <w:szCs w:val="24"/>
        </w:rPr>
        <w:t>验收时如发现所交付的货物有短装、次品、损坏、不能正常运行或其它不符合本合同及项目其他文件规定的标准与要求之情形者，供方与需方（或需方用户单位）共同</w:t>
      </w:r>
      <w:r>
        <w:rPr>
          <w:rFonts w:hint="eastAsia" w:ascii="Arial" w:hAnsi="宋体" w:cs="Arial"/>
          <w:color w:val="000000"/>
          <w:sz w:val="24"/>
          <w:szCs w:val="24"/>
        </w:rPr>
        <w:t>做出详尽的现场记录或者签署备忘录，由此产生的时间延误与有关费用由供方承担，交货及验收期限不作相应顺延。</w:t>
      </w:r>
      <w:r>
        <w:rPr>
          <w:rFonts w:hint="eastAsia" w:ascii="宋体" w:hAnsi="宋体"/>
          <w:vanish/>
          <w:sz w:val="24"/>
          <w:szCs w:val="24"/>
        </w:rPr>
        <w:t>4.7</w:t>
      </w:r>
      <w:r>
        <w:rPr>
          <w:rFonts w:hint="eastAsia" w:cs="宋体"/>
          <w:vanish/>
          <w:sz w:val="24"/>
          <w:szCs w:val="24"/>
          <w:u w:val="single"/>
        </w:rPr>
        <w:t>（</w:t>
      </w:r>
      <w:r>
        <w:rPr>
          <w:rFonts w:hint="eastAsia" w:ascii="宋体" w:hAnsi="宋体"/>
          <w:vanish/>
          <w:color w:val="FF0000"/>
          <w:sz w:val="24"/>
          <w:szCs w:val="24"/>
          <w:u w:val="single"/>
        </w:rPr>
        <w:t>用户单位对验收有其他要求的，可于本款载明，但应根据投标或响应文件承诺内容填写；</w:t>
      </w:r>
      <w:r>
        <w:rPr>
          <w:rFonts w:hint="eastAsia" w:cs="宋体"/>
          <w:vanish/>
          <w:sz w:val="24"/>
          <w:szCs w:val="24"/>
          <w:u w:val="single"/>
        </w:rPr>
        <w:t>）。</w:t>
      </w:r>
    </w:p>
    <w:p>
      <w:pPr>
        <w:spacing w:before="240" w:line="360" w:lineRule="auto"/>
        <w:ind w:firstLine="424" w:firstLineChars="151"/>
        <w:jc w:val="left"/>
        <w:outlineLvl w:val="0"/>
        <w:rPr>
          <w:rFonts w:ascii="Calibri Light" w:hAnsi="Calibri Light"/>
          <w:b/>
          <w:bCs/>
        </w:rPr>
      </w:pPr>
      <w:r>
        <w:rPr>
          <w:rFonts w:hint="eastAsia" w:ascii="Calibri Light" w:hAnsi="Calibri Light"/>
          <w:b/>
          <w:bCs/>
        </w:rPr>
        <w:t>五、培训</w:t>
      </w:r>
    </w:p>
    <w:p>
      <w:pPr>
        <w:spacing w:line="360" w:lineRule="auto"/>
        <w:ind w:firstLine="480" w:firstLineChars="200"/>
        <w:jc w:val="left"/>
        <w:rPr>
          <w:rFonts w:ascii="宋体" w:hAnsi="宋体" w:cs="宋体"/>
          <w:sz w:val="24"/>
          <w:szCs w:val="24"/>
        </w:rPr>
      </w:pPr>
      <w:r>
        <w:rPr>
          <w:rFonts w:hint="eastAsia" w:ascii="宋体" w:hAnsi="宋体" w:cs="宋体"/>
          <w:sz w:val="24"/>
          <w:szCs w:val="24"/>
        </w:rPr>
        <w:t>5.1 安装调试合格后，由需方用户单位与供方共同商定培训时间，培训地点由需方用户单位指定。</w:t>
      </w:r>
    </w:p>
    <w:p>
      <w:pPr>
        <w:spacing w:line="360" w:lineRule="auto"/>
        <w:ind w:firstLine="480" w:firstLineChars="200"/>
        <w:jc w:val="left"/>
        <w:rPr>
          <w:rFonts w:ascii="宋体" w:hAnsi="宋体" w:cs="宋体"/>
          <w:sz w:val="24"/>
          <w:szCs w:val="24"/>
        </w:rPr>
      </w:pPr>
      <w:r>
        <w:rPr>
          <w:rFonts w:hint="eastAsia" w:ascii="宋体" w:hAnsi="宋体" w:cs="宋体"/>
          <w:sz w:val="24"/>
          <w:szCs w:val="24"/>
        </w:rPr>
        <w:t>5.2 供方向需方免费提供培训，培训内容与方式如下：</w:t>
      </w:r>
    </w:p>
    <w:p>
      <w:pPr>
        <w:spacing w:line="360" w:lineRule="auto"/>
        <w:ind w:firstLine="480" w:firstLineChars="200"/>
        <w:jc w:val="left"/>
        <w:rPr>
          <w:rFonts w:cs="宋体"/>
          <w:sz w:val="24"/>
          <w:szCs w:val="24"/>
        </w:rPr>
      </w:pPr>
      <w:r>
        <w:rPr>
          <w:rFonts w:hint="eastAsia" w:ascii="宋体" w:hAnsi="宋体" w:cs="宋体"/>
          <w:sz w:val="24"/>
          <w:szCs w:val="24"/>
          <w:u w:val="single"/>
        </w:rPr>
        <w:t>供方提供必要的培训资料，并指派专业人员就所供货物的组装、试运行、运行、使用、维护、保养等对需方人员进行培训，直至全面掌握为止</w:t>
      </w:r>
      <w:r>
        <w:rPr>
          <w:rFonts w:hint="eastAsia" w:ascii="宋体" w:hAnsi="宋体" w:cs="宋体"/>
          <w:vanish/>
          <w:color w:val="FF0000"/>
          <w:sz w:val="24"/>
          <w:szCs w:val="24"/>
          <w:u w:val="single"/>
        </w:rPr>
        <w:t>/（培训的具体要求根据投标或响应文件承诺内容填写）</w:t>
      </w:r>
      <w:r>
        <w:rPr>
          <w:rFonts w:hint="eastAsia" w:ascii="宋体" w:hAnsi="宋体" w:cs="宋体"/>
          <w:sz w:val="24"/>
          <w:szCs w:val="24"/>
          <w:u w:val="single"/>
        </w:rPr>
        <w:t>。</w:t>
      </w:r>
    </w:p>
    <w:p>
      <w:pPr>
        <w:numPr>
          <w:ilvl w:val="0"/>
          <w:numId w:val="3"/>
        </w:numPr>
        <w:spacing w:before="240"/>
        <w:ind w:firstLine="424" w:firstLineChars="151"/>
        <w:jc w:val="left"/>
        <w:outlineLvl w:val="0"/>
        <w:rPr>
          <w:rFonts w:ascii="Calibri Light" w:hAnsi="Calibri Light"/>
          <w:b/>
          <w:bCs/>
        </w:rPr>
      </w:pPr>
      <w:r>
        <w:rPr>
          <w:rFonts w:hint="eastAsia" w:ascii="Calibri Light" w:hAnsi="Calibri Light"/>
          <w:b/>
          <w:bCs/>
        </w:rPr>
        <w:t>付款方式</w:t>
      </w:r>
    </w:p>
    <w:p>
      <w:pPr>
        <w:spacing w:line="400" w:lineRule="exact"/>
        <w:ind w:firstLine="480" w:firstLineChars="200"/>
        <w:rPr>
          <w:rFonts w:ascii="宋体" w:hAnsi="宋体" w:cs="宋体"/>
          <w:sz w:val="24"/>
          <w:szCs w:val="24"/>
        </w:rPr>
      </w:pPr>
      <w:r>
        <w:rPr>
          <w:rFonts w:hint="eastAsia" w:ascii="宋体" w:hAnsi="宋体" w:cs="宋体"/>
          <w:sz w:val="24"/>
          <w:szCs w:val="24"/>
        </w:rPr>
        <w:t>6.1 付款模式</w:t>
      </w:r>
      <w:r>
        <w:rPr>
          <w:rFonts w:hint="eastAsia" w:cs="宋体"/>
          <w:vanish/>
          <w:color w:val="FF0000"/>
          <w:sz w:val="24"/>
          <w:szCs w:val="24"/>
        </w:rPr>
        <w:t>（此条款根据投标或响应文件承诺内容填写，付款模式三选一，删除其余模式）</w:t>
      </w:r>
    </w:p>
    <w:p>
      <w:pPr>
        <w:spacing w:line="440" w:lineRule="exact"/>
        <w:jc w:val="center"/>
        <w:rPr>
          <w:vanish/>
          <w:color w:val="FF0000"/>
          <w:sz w:val="24"/>
          <w:szCs w:val="24"/>
        </w:rPr>
      </w:pP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rFonts w:hint="eastAsia"/>
          <w:vanish/>
          <w:color w:val="FF0000"/>
          <w:sz w:val="21"/>
          <w:szCs w:val="24"/>
        </w:rPr>
        <w:t>履约保证金付款模式</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6.1.1本合同中货物全部到货、数量验收合格后</w:t>
      </w:r>
      <w:r>
        <w:rPr>
          <w:rFonts w:hint="eastAsia" w:cs="宋体"/>
          <w:color w:val="000000"/>
          <w:sz w:val="24"/>
          <w:szCs w:val="24"/>
          <w:u w:val="single"/>
        </w:rPr>
        <w:t xml:space="preserve"> </w:t>
      </w:r>
      <w:r>
        <w:rPr>
          <w:rFonts w:hint="eastAsia" w:cs="宋体"/>
          <w:color w:val="FF0000"/>
          <w:sz w:val="24"/>
          <w:szCs w:val="24"/>
          <w:u w:val="single"/>
        </w:rPr>
        <w:t xml:space="preserve">  </w:t>
      </w:r>
      <w:r>
        <w:rPr>
          <w:rFonts w:hint="eastAsia" w:cs="宋体"/>
          <w:color w:val="000000"/>
          <w:sz w:val="24"/>
          <w:szCs w:val="24"/>
          <w:u w:val="single"/>
        </w:rPr>
        <w:t xml:space="preserve"> </w:t>
      </w:r>
      <w:r>
        <w:rPr>
          <w:rFonts w:hint="eastAsia" w:cs="宋体"/>
          <w:color w:val="000000"/>
          <w:sz w:val="24"/>
          <w:szCs w:val="24"/>
        </w:rPr>
        <w:t>个工作日内，供方向需方交纳合同总价的</w:t>
      </w:r>
      <w:r>
        <w:rPr>
          <w:rFonts w:hint="eastAsia" w:cs="宋体"/>
          <w:color w:val="000000"/>
          <w:sz w:val="24"/>
          <w:szCs w:val="24"/>
          <w:u w:val="single"/>
        </w:rPr>
        <w:t xml:space="preserve"> </w:t>
      </w:r>
      <w:r>
        <w:rPr>
          <w:rFonts w:hint="eastAsia" w:cs="宋体"/>
          <w:color w:val="FF0000"/>
          <w:sz w:val="24"/>
          <w:szCs w:val="24"/>
          <w:u w:val="single"/>
        </w:rPr>
        <w:t xml:space="preserve">   </w:t>
      </w:r>
      <w:r>
        <w:rPr>
          <w:rFonts w:hint="eastAsia" w:cs="宋体"/>
          <w:color w:val="FF0000"/>
          <w:sz w:val="24"/>
          <w:szCs w:val="24"/>
        </w:rPr>
        <w:t>%（</w:t>
      </w:r>
      <w:r>
        <w:rPr>
          <w:rFonts w:hint="eastAsia" w:cs="宋体"/>
          <w:color w:val="000000"/>
          <w:sz w:val="24"/>
          <w:szCs w:val="24"/>
        </w:rPr>
        <w:t>计人民币大写</w:t>
      </w:r>
      <w:r>
        <w:rPr>
          <w:rFonts w:hint="eastAsia" w:cs="宋体"/>
          <w:color w:val="000000"/>
          <w:sz w:val="24"/>
          <w:szCs w:val="24"/>
          <w:u w:val="single"/>
        </w:rPr>
        <w:t xml:space="preserve">          </w:t>
      </w:r>
      <w:r>
        <w:rPr>
          <w:rFonts w:hint="eastAsia" w:cs="宋体"/>
          <w:color w:val="000000"/>
          <w:sz w:val="24"/>
          <w:szCs w:val="24"/>
        </w:rPr>
        <w:t>元整，小写￥</w:t>
      </w:r>
      <w:r>
        <w:rPr>
          <w:rFonts w:hint="eastAsia" w:cs="宋体"/>
          <w:color w:val="000000"/>
          <w:sz w:val="24"/>
          <w:szCs w:val="24"/>
          <w:u w:val="single"/>
        </w:rPr>
        <w:t xml:space="preserve">          </w:t>
      </w:r>
      <w:r>
        <w:rPr>
          <w:rFonts w:hint="eastAsia" w:cs="宋体"/>
          <w:color w:val="000000"/>
          <w:sz w:val="24"/>
          <w:szCs w:val="24"/>
        </w:rPr>
        <w:t>）作履约保证金；需方收到履约保证金后</w:t>
      </w:r>
      <w:r>
        <w:rPr>
          <w:rFonts w:hint="eastAsia" w:cs="宋体"/>
          <w:color w:val="000000"/>
          <w:sz w:val="24"/>
          <w:szCs w:val="24"/>
          <w:u w:val="single"/>
        </w:rPr>
        <w:t xml:space="preserve">  </w:t>
      </w:r>
      <w:r>
        <w:rPr>
          <w:rFonts w:hint="eastAsia" w:cs="宋体"/>
          <w:color w:val="FF0000"/>
          <w:sz w:val="24"/>
          <w:szCs w:val="24"/>
          <w:u w:val="single"/>
        </w:rPr>
        <w:t xml:space="preserve"> </w:t>
      </w:r>
      <w:r>
        <w:rPr>
          <w:rFonts w:hint="eastAsia" w:cs="宋体"/>
          <w:color w:val="000000"/>
          <w:sz w:val="24"/>
          <w:szCs w:val="24"/>
          <w:u w:val="single"/>
        </w:rPr>
        <w:t xml:space="preserve"> </w:t>
      </w:r>
      <w:r>
        <w:rPr>
          <w:rFonts w:hint="eastAsia" w:cs="宋体"/>
          <w:color w:val="000000"/>
          <w:sz w:val="24"/>
          <w:szCs w:val="24"/>
        </w:rPr>
        <w:t>个工作日内，</w:t>
      </w:r>
      <w:r>
        <w:rPr>
          <w:rFonts w:hint="eastAsia" w:ascii="宋体" w:hAnsi="宋体" w:cs="宋体"/>
          <w:sz w:val="24"/>
          <w:szCs w:val="24"/>
        </w:rPr>
        <w:t>根据合同及数量验收记录向供方支付</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color w:val="FF0000"/>
          <w:sz w:val="24"/>
          <w:szCs w:val="24"/>
        </w:rPr>
        <w:t>%</w:t>
      </w:r>
      <w:r>
        <w:rPr>
          <w:rFonts w:hint="eastAsia" w:ascii="宋体" w:hAnsi="宋体" w:cs="宋体"/>
          <w:sz w:val="24"/>
          <w:szCs w:val="24"/>
        </w:rPr>
        <w:t>的合同总价款，计人民币大写</w:t>
      </w:r>
      <w:r>
        <w:rPr>
          <w:rFonts w:hint="eastAsia" w:ascii="宋体" w:hAnsi="宋体" w:cs="宋体"/>
          <w:sz w:val="24"/>
          <w:szCs w:val="24"/>
          <w:u w:val="single"/>
        </w:rPr>
        <w:t xml:space="preserve">             </w:t>
      </w:r>
      <w:r>
        <w:rPr>
          <w:rFonts w:hint="eastAsia" w:ascii="宋体" w:hAnsi="宋体" w:cs="宋体"/>
          <w:sz w:val="24"/>
          <w:szCs w:val="24"/>
        </w:rPr>
        <w:t>元整，小写￥</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u w:val="single"/>
        </w:rPr>
        <w:t xml:space="preserve">   </w:t>
      </w:r>
      <w:r>
        <w:rPr>
          <w:rFonts w:hint="eastAsia" w:ascii="宋体" w:hAnsi="宋体" w:cs="宋体"/>
          <w:sz w:val="24"/>
          <w:szCs w:val="24"/>
        </w:rPr>
        <w:t>。</w:t>
      </w:r>
    </w:p>
    <w:p>
      <w:pPr>
        <w:spacing w:line="400" w:lineRule="exact"/>
        <w:ind w:firstLine="480" w:firstLineChars="200"/>
        <w:rPr>
          <w:rFonts w:cs="宋体"/>
          <w:color w:val="000000"/>
          <w:sz w:val="24"/>
          <w:szCs w:val="24"/>
        </w:rPr>
      </w:pPr>
      <w:r>
        <w:rPr>
          <w:rFonts w:hint="eastAsia" w:ascii="宋体" w:hAnsi="宋体" w:cs="宋体"/>
          <w:sz w:val="24"/>
          <w:szCs w:val="24"/>
        </w:rPr>
        <w:t>6.1.2本合同中货物质量性能验收合格且培训工作完成后</w:t>
      </w:r>
      <w:r>
        <w:rPr>
          <w:rFonts w:hint="eastAsia" w:cs="宋体"/>
          <w:color w:val="000000"/>
          <w:sz w:val="24"/>
          <w:szCs w:val="24"/>
          <w:u w:val="single"/>
        </w:rPr>
        <w:t xml:space="preserve">  </w:t>
      </w:r>
      <w:r>
        <w:rPr>
          <w:rFonts w:hint="eastAsia" w:cs="宋体"/>
          <w:color w:val="FF0000"/>
          <w:sz w:val="24"/>
          <w:szCs w:val="24"/>
          <w:u w:val="single"/>
        </w:rPr>
        <w:t xml:space="preserve"> </w:t>
      </w:r>
      <w:r>
        <w:rPr>
          <w:rFonts w:hint="eastAsia" w:cs="宋体"/>
          <w:color w:val="000000"/>
          <w:sz w:val="24"/>
          <w:szCs w:val="24"/>
          <w:u w:val="single"/>
        </w:rPr>
        <w:t xml:space="preserve"> </w:t>
      </w:r>
      <w:r>
        <w:rPr>
          <w:rFonts w:hint="eastAsia" w:cs="宋体"/>
          <w:color w:val="000000"/>
          <w:sz w:val="24"/>
          <w:szCs w:val="24"/>
        </w:rPr>
        <w:t>个工作日内，</w:t>
      </w:r>
      <w:r>
        <w:rPr>
          <w:rFonts w:hint="eastAsia" w:cs="宋体"/>
          <w:sz w:val="24"/>
          <w:szCs w:val="24"/>
        </w:rPr>
        <w:t>需方</w:t>
      </w:r>
      <w:r>
        <w:rPr>
          <w:rFonts w:hint="eastAsia" w:cs="宋体"/>
          <w:color w:val="000000"/>
          <w:sz w:val="24"/>
          <w:szCs w:val="24"/>
        </w:rPr>
        <w:t>向供方无息退还作为履约保证金的合同总价的   %，</w:t>
      </w:r>
      <w:r>
        <w:rPr>
          <w:rFonts w:hint="eastAsia" w:ascii="宋体" w:hAnsi="宋体" w:cs="宋体"/>
          <w:sz w:val="24"/>
          <w:szCs w:val="24"/>
        </w:rPr>
        <w:t>计人民币大写</w:t>
      </w:r>
      <w:r>
        <w:rPr>
          <w:rFonts w:hint="eastAsia" w:ascii="宋体" w:hAnsi="宋体" w:cs="宋体"/>
          <w:sz w:val="24"/>
          <w:szCs w:val="24"/>
          <w:u w:val="single"/>
        </w:rPr>
        <w:t xml:space="preserve">             </w:t>
      </w:r>
      <w:r>
        <w:rPr>
          <w:rFonts w:hint="eastAsia" w:ascii="宋体" w:hAnsi="宋体" w:cs="宋体"/>
          <w:sz w:val="24"/>
          <w:szCs w:val="24"/>
        </w:rPr>
        <w:t>元整，小写￥</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u w:val="single"/>
        </w:rPr>
        <w:t xml:space="preserve">   </w:t>
      </w:r>
      <w:r>
        <w:rPr>
          <w:rFonts w:hint="eastAsia" w:ascii="宋体" w:hAnsi="宋体" w:cs="宋体"/>
          <w:sz w:val="24"/>
          <w:szCs w:val="24"/>
        </w:rPr>
        <w:t>元。</w:t>
      </w:r>
    </w:p>
    <w:p>
      <w:pPr>
        <w:spacing w:line="400" w:lineRule="exact"/>
        <w:ind w:firstLine="480" w:firstLineChars="200"/>
        <w:rPr>
          <w:rFonts w:ascii="宋体" w:hAnsi="宋体" w:cs="宋体"/>
          <w:sz w:val="24"/>
          <w:szCs w:val="24"/>
        </w:rPr>
      </w:pPr>
      <w:r>
        <w:rPr>
          <w:rFonts w:hint="eastAsia" w:ascii="宋体" w:hAnsi="宋体" w:cs="宋体"/>
          <w:sz w:val="24"/>
          <w:szCs w:val="24"/>
        </w:rPr>
        <w:t xml:space="preserve">6.1.3质量性能验收合格之日起 </w:t>
      </w:r>
      <w:r>
        <w:rPr>
          <w:rFonts w:ascii="宋体" w:hAnsi="宋体" w:cs="宋体"/>
          <w:sz w:val="24"/>
          <w:szCs w:val="24"/>
          <w:u w:val="single"/>
        </w:rPr>
        <w:t xml:space="preserve">    </w:t>
      </w:r>
      <w:r>
        <w:rPr>
          <w:rFonts w:hint="eastAsia" w:ascii="宋体" w:hAnsi="宋体" w:cs="宋体"/>
          <w:color w:val="FF0000"/>
          <w:sz w:val="24"/>
          <w:szCs w:val="24"/>
        </w:rPr>
        <w:t xml:space="preserve"> </w:t>
      </w:r>
      <w:r>
        <w:rPr>
          <w:rFonts w:hint="eastAsia" w:ascii="宋体" w:hAnsi="宋体" w:cs="宋体"/>
          <w:sz w:val="24"/>
          <w:szCs w:val="24"/>
        </w:rPr>
        <w:t>年内若无遗留问题，需方将剩余履约保证金（合同总价的  5  %）无息退还供方；若有尚未解决的遗留问题，暂不予退还。</w:t>
      </w:r>
    </w:p>
    <w:p>
      <w:pPr>
        <w:spacing w:line="440" w:lineRule="exact"/>
        <w:jc w:val="center"/>
        <w:rPr>
          <w:vanish/>
          <w:color w:val="FF0000"/>
          <w:sz w:val="24"/>
          <w:szCs w:val="24"/>
        </w:rPr>
      </w:pP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rFonts w:hint="eastAsia"/>
          <w:vanish/>
          <w:color w:val="FF0000"/>
          <w:sz w:val="21"/>
          <w:szCs w:val="24"/>
        </w:rPr>
        <w:t>进度款付款模式</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r>
        <w:rPr>
          <w:rFonts w:hint="eastAsia"/>
          <w:vanish/>
          <w:color w:val="FF0000"/>
          <w:sz w:val="24"/>
          <w:szCs w:val="24"/>
        </w:rPr>
        <w:t>======</w:t>
      </w:r>
      <w:r>
        <w:rPr>
          <w:vanish/>
          <w:color w:val="FF0000"/>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6.1.1本合同中货物全部到货、数量验收合格后</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000000"/>
          <w:sz w:val="24"/>
          <w:szCs w:val="24"/>
          <w:u w:val="single"/>
        </w:rPr>
        <w:t xml:space="preserve">  </w:t>
      </w:r>
      <w:r>
        <w:rPr>
          <w:rFonts w:hint="eastAsia" w:cs="宋体"/>
          <w:bCs/>
          <w:color w:val="000000"/>
          <w:sz w:val="24"/>
          <w:szCs w:val="24"/>
        </w:rPr>
        <w:t>个工作日内，供方向需方交纳合同总价的</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FF0000"/>
          <w:sz w:val="24"/>
          <w:szCs w:val="24"/>
        </w:rPr>
        <w:t>%</w:t>
      </w:r>
      <w:r>
        <w:rPr>
          <w:rFonts w:hint="eastAsia" w:cs="宋体"/>
          <w:bCs/>
          <w:color w:val="000000"/>
          <w:sz w:val="24"/>
          <w:szCs w:val="24"/>
        </w:rPr>
        <w:t>（计人民币大写</w:t>
      </w:r>
      <w:r>
        <w:rPr>
          <w:rFonts w:hint="eastAsia" w:cs="宋体"/>
          <w:bCs/>
          <w:color w:val="000000"/>
          <w:sz w:val="24"/>
          <w:szCs w:val="24"/>
          <w:u w:val="single"/>
        </w:rPr>
        <w:t xml:space="preserve">            </w:t>
      </w:r>
      <w:r>
        <w:rPr>
          <w:rFonts w:hint="eastAsia" w:cs="宋体"/>
          <w:bCs/>
          <w:color w:val="000000"/>
          <w:sz w:val="24"/>
          <w:szCs w:val="24"/>
        </w:rPr>
        <w:t>元整，小写￥</w:t>
      </w:r>
      <w:r>
        <w:rPr>
          <w:rFonts w:hint="eastAsia" w:cs="宋体"/>
          <w:bCs/>
          <w:color w:val="000000"/>
          <w:sz w:val="24"/>
          <w:szCs w:val="24"/>
          <w:u w:val="single"/>
        </w:rPr>
        <w:t xml:space="preserve">          </w:t>
      </w:r>
      <w:r>
        <w:rPr>
          <w:rFonts w:hint="eastAsia" w:cs="宋体"/>
          <w:bCs/>
          <w:color w:val="000000"/>
          <w:sz w:val="24"/>
          <w:szCs w:val="24"/>
        </w:rPr>
        <w:t>）作履约保证金；需方收到履约保证金后</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000000"/>
          <w:sz w:val="24"/>
          <w:szCs w:val="24"/>
          <w:u w:val="single"/>
        </w:rPr>
        <w:t xml:space="preserve"> </w:t>
      </w:r>
      <w:r>
        <w:rPr>
          <w:rFonts w:hint="eastAsia" w:cs="宋体"/>
          <w:bCs/>
          <w:color w:val="000000"/>
          <w:sz w:val="24"/>
          <w:szCs w:val="24"/>
        </w:rPr>
        <w:t>个工作日内，</w:t>
      </w:r>
      <w:r>
        <w:rPr>
          <w:rFonts w:hint="eastAsia" w:ascii="宋体" w:hAnsi="宋体" w:cs="宋体"/>
          <w:sz w:val="24"/>
          <w:szCs w:val="24"/>
        </w:rPr>
        <w:t>根据合同及数量验收记录向供方支付合同总额</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color w:val="FF0000"/>
          <w:sz w:val="24"/>
          <w:szCs w:val="24"/>
        </w:rPr>
        <w:t>%</w:t>
      </w:r>
      <w:r>
        <w:rPr>
          <w:rFonts w:hint="eastAsia" w:ascii="宋体" w:hAnsi="宋体" w:cs="宋体"/>
          <w:sz w:val="24"/>
          <w:szCs w:val="24"/>
        </w:rPr>
        <w:t>的进度款，计人民币大写</w:t>
      </w:r>
      <w:r>
        <w:rPr>
          <w:rFonts w:hint="eastAsia" w:ascii="宋体" w:hAnsi="宋体" w:cs="宋体"/>
          <w:sz w:val="24"/>
          <w:szCs w:val="24"/>
          <w:u w:val="single"/>
        </w:rPr>
        <w:t xml:space="preserve">             </w:t>
      </w:r>
      <w:r>
        <w:rPr>
          <w:rFonts w:hint="eastAsia" w:ascii="宋体" w:hAnsi="宋体" w:cs="宋体"/>
          <w:sz w:val="24"/>
          <w:szCs w:val="24"/>
        </w:rPr>
        <w:t>元整，小写￥</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u w:val="single"/>
        </w:rPr>
        <w:t xml:space="preserve">   </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6.1.2本合同中货物质量性能验收合格且培训工作完成后</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000000"/>
          <w:sz w:val="24"/>
          <w:szCs w:val="24"/>
          <w:u w:val="single"/>
        </w:rPr>
        <w:t xml:space="preserve"> </w:t>
      </w:r>
      <w:r>
        <w:rPr>
          <w:rFonts w:hint="eastAsia" w:cs="宋体"/>
          <w:bCs/>
          <w:color w:val="000000"/>
          <w:sz w:val="24"/>
          <w:szCs w:val="24"/>
        </w:rPr>
        <w:t>个工作日内，</w:t>
      </w:r>
      <w:r>
        <w:rPr>
          <w:rFonts w:hint="eastAsia" w:cs="宋体"/>
          <w:sz w:val="24"/>
          <w:szCs w:val="24"/>
        </w:rPr>
        <w:t>需方</w:t>
      </w:r>
      <w:r>
        <w:rPr>
          <w:rFonts w:hint="eastAsia" w:cs="宋体"/>
          <w:bCs/>
          <w:color w:val="000000"/>
          <w:sz w:val="24"/>
          <w:szCs w:val="24"/>
        </w:rPr>
        <w:t>向供方支付合同总价的</w:t>
      </w:r>
      <w:r>
        <w:rPr>
          <w:rFonts w:hint="eastAsia" w:cs="宋体"/>
          <w:bCs/>
          <w:color w:val="000000"/>
          <w:sz w:val="24"/>
          <w:szCs w:val="24"/>
          <w:u w:val="single"/>
        </w:rPr>
        <w:t xml:space="preserve"> </w:t>
      </w:r>
      <w:r>
        <w:rPr>
          <w:rFonts w:cs="宋体"/>
          <w:bCs/>
          <w:color w:val="000000"/>
          <w:sz w:val="24"/>
          <w:szCs w:val="24"/>
          <w:u w:val="single"/>
        </w:rPr>
        <w:t xml:space="preserve">    </w:t>
      </w:r>
      <w:r>
        <w:rPr>
          <w:rFonts w:hint="eastAsia" w:cs="宋体"/>
          <w:bCs/>
          <w:color w:val="FF0000"/>
          <w:sz w:val="24"/>
          <w:szCs w:val="24"/>
        </w:rPr>
        <w:t>%</w:t>
      </w:r>
      <w:r>
        <w:rPr>
          <w:rFonts w:hint="eastAsia" w:cs="宋体"/>
          <w:bCs/>
          <w:color w:val="000000"/>
          <w:sz w:val="24"/>
          <w:szCs w:val="24"/>
        </w:rPr>
        <w:t>进度款（即余款）</w:t>
      </w:r>
      <w:r>
        <w:rPr>
          <w:rFonts w:hint="eastAsia" w:ascii="宋体" w:hAnsi="宋体" w:cs="宋体"/>
          <w:sz w:val="24"/>
          <w:szCs w:val="24"/>
        </w:rPr>
        <w:t>，计人民币大写</w:t>
      </w:r>
      <w:r>
        <w:rPr>
          <w:rFonts w:hint="eastAsia" w:ascii="宋体" w:hAnsi="宋体" w:cs="宋体"/>
          <w:sz w:val="24"/>
          <w:szCs w:val="24"/>
          <w:u w:val="single"/>
        </w:rPr>
        <w:t xml:space="preserve">             </w:t>
      </w:r>
      <w:r>
        <w:rPr>
          <w:rFonts w:hint="eastAsia" w:ascii="宋体" w:hAnsi="宋体" w:cs="宋体"/>
          <w:sz w:val="24"/>
          <w:szCs w:val="24"/>
        </w:rPr>
        <w:t>元整，小写￥</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u w:val="single"/>
        </w:rPr>
        <w:t xml:space="preserve">   </w:t>
      </w:r>
      <w:r>
        <w:rPr>
          <w:rFonts w:hint="eastAsia" w:ascii="宋体" w:hAnsi="宋体" w:cs="宋体"/>
          <w:sz w:val="24"/>
          <w:szCs w:val="24"/>
        </w:rPr>
        <w:t>元。</w:t>
      </w:r>
    </w:p>
    <w:p>
      <w:pPr>
        <w:spacing w:line="400" w:lineRule="exact"/>
        <w:ind w:firstLine="480" w:firstLineChars="200"/>
        <w:rPr>
          <w:rFonts w:cs="宋体"/>
          <w:bCs/>
          <w:sz w:val="24"/>
          <w:szCs w:val="24"/>
        </w:rPr>
      </w:pPr>
      <w:r>
        <w:rPr>
          <w:rFonts w:hint="eastAsia" w:ascii="宋体" w:hAnsi="宋体" w:cs="宋体"/>
          <w:sz w:val="24"/>
          <w:szCs w:val="24"/>
        </w:rPr>
        <w:t>6.1.3质</w:t>
      </w:r>
      <w:r>
        <w:rPr>
          <w:rFonts w:hint="eastAsia" w:cs="宋体"/>
          <w:bCs/>
          <w:sz w:val="24"/>
          <w:szCs w:val="24"/>
        </w:rPr>
        <w:t>量性能验收合格之日起</w:t>
      </w:r>
      <w:r>
        <w:rPr>
          <w:rFonts w:hint="eastAsia" w:cs="宋体"/>
          <w:b/>
          <w:bCs/>
          <w:color w:val="FF0000"/>
          <w:sz w:val="24"/>
          <w:szCs w:val="24"/>
          <w:u w:val="single"/>
        </w:rPr>
        <w:t xml:space="preserve"> </w:t>
      </w:r>
      <w:r>
        <w:rPr>
          <w:rFonts w:hint="eastAsia" w:cs="宋体"/>
          <w:b/>
          <w:bCs/>
          <w:sz w:val="24"/>
          <w:szCs w:val="24"/>
          <w:u w:val="single"/>
        </w:rPr>
        <w:t xml:space="preserve"> </w:t>
      </w:r>
      <w:r>
        <w:rPr>
          <w:rFonts w:hint="eastAsia" w:cs="宋体"/>
          <w:bCs/>
          <w:sz w:val="24"/>
          <w:szCs w:val="24"/>
        </w:rPr>
        <w:t>年内若无遗留问题，需方将履约保证金本金全额无息退还供方；若有尚未解决的遗留问题，暂不予退还。</w:t>
      </w:r>
    </w:p>
    <w:p>
      <w:pPr>
        <w:spacing w:line="400" w:lineRule="exact"/>
        <w:jc w:val="center"/>
        <w:rPr>
          <w:rFonts w:cs="宋体"/>
          <w:vanish/>
          <w:color w:val="FF0000"/>
          <w:sz w:val="24"/>
          <w:szCs w:val="24"/>
        </w:rPr>
      </w:pPr>
      <w:r>
        <w:rPr>
          <w:rFonts w:hint="eastAsia" w:cs="宋体"/>
          <w:vanish/>
          <w:color w:val="FF0000"/>
          <w:sz w:val="24"/>
          <w:szCs w:val="24"/>
        </w:rPr>
        <w:t>=</w:t>
      </w:r>
      <w:r>
        <w:rPr>
          <w:rFonts w:cs="宋体"/>
          <w:vanish/>
          <w:color w:val="FF0000"/>
          <w:sz w:val="24"/>
          <w:szCs w:val="24"/>
        </w:rPr>
        <w:t>=</w:t>
      </w:r>
      <w:r>
        <w:rPr>
          <w:rFonts w:hint="eastAsia" w:cs="宋体"/>
          <w:vanish/>
          <w:color w:val="FF0000"/>
          <w:sz w:val="24"/>
          <w:szCs w:val="24"/>
        </w:rPr>
        <w:t>=</w:t>
      </w:r>
      <w:r>
        <w:rPr>
          <w:rFonts w:cs="宋体"/>
          <w:vanish/>
          <w:color w:val="FF0000"/>
          <w:sz w:val="24"/>
          <w:szCs w:val="24"/>
        </w:rPr>
        <w:t>===========</w:t>
      </w:r>
      <w:r>
        <w:rPr>
          <w:rFonts w:hint="eastAsia" w:cs="宋体"/>
          <w:vanish/>
          <w:color w:val="FF0000"/>
          <w:sz w:val="24"/>
          <w:szCs w:val="24"/>
        </w:rPr>
        <w:t>=</w:t>
      </w:r>
      <w:r>
        <w:rPr>
          <w:rFonts w:cs="宋体"/>
          <w:vanish/>
          <w:color w:val="FF0000"/>
          <w:sz w:val="24"/>
          <w:szCs w:val="24"/>
        </w:rPr>
        <w:t>===</w:t>
      </w:r>
      <w:r>
        <w:rPr>
          <w:rFonts w:hint="eastAsia" w:cs="宋体"/>
          <w:vanish/>
          <w:color w:val="FF0000"/>
          <w:sz w:val="24"/>
          <w:szCs w:val="24"/>
        </w:rPr>
        <w:t>======验收合格后付款模式=</w:t>
      </w:r>
      <w:r>
        <w:rPr>
          <w:rFonts w:cs="宋体"/>
          <w:vanish/>
          <w:color w:val="FF0000"/>
          <w:sz w:val="24"/>
          <w:szCs w:val="24"/>
        </w:rPr>
        <w:t>=</w:t>
      </w:r>
      <w:r>
        <w:rPr>
          <w:rFonts w:hint="eastAsia" w:cs="宋体"/>
          <w:vanish/>
          <w:color w:val="FF0000"/>
          <w:sz w:val="24"/>
          <w:szCs w:val="24"/>
        </w:rPr>
        <w:t>=</w:t>
      </w:r>
      <w:r>
        <w:rPr>
          <w:rFonts w:cs="宋体"/>
          <w:vanish/>
          <w:color w:val="FF0000"/>
          <w:sz w:val="24"/>
          <w:szCs w:val="24"/>
        </w:rPr>
        <w:t>===========</w:t>
      </w:r>
      <w:r>
        <w:rPr>
          <w:rFonts w:hint="eastAsia" w:cs="宋体"/>
          <w:vanish/>
          <w:color w:val="FF0000"/>
          <w:sz w:val="24"/>
          <w:szCs w:val="24"/>
        </w:rPr>
        <w:t>=</w:t>
      </w:r>
      <w:r>
        <w:rPr>
          <w:rFonts w:cs="宋体"/>
          <w:vanish/>
          <w:color w:val="FF0000"/>
          <w:sz w:val="24"/>
          <w:szCs w:val="24"/>
        </w:rPr>
        <w:t>===</w:t>
      </w:r>
      <w:r>
        <w:rPr>
          <w:rFonts w:hint="eastAsia" w:cs="宋体"/>
          <w:vanish/>
          <w:color w:val="FF0000"/>
          <w:sz w:val="24"/>
          <w:szCs w:val="24"/>
        </w:rPr>
        <w:t>======</w:t>
      </w:r>
    </w:p>
    <w:p>
      <w:pPr>
        <w:spacing w:line="400" w:lineRule="exact"/>
        <w:ind w:firstLine="480" w:firstLineChars="200"/>
        <w:rPr>
          <w:rFonts w:cs="宋体"/>
          <w:bCs/>
          <w:color w:val="000000"/>
          <w:sz w:val="24"/>
          <w:szCs w:val="24"/>
        </w:rPr>
      </w:pPr>
      <w:r>
        <w:rPr>
          <w:rFonts w:hint="eastAsia" w:ascii="宋体" w:hAnsi="宋体" w:cs="宋体"/>
          <w:sz w:val="24"/>
          <w:szCs w:val="24"/>
        </w:rPr>
        <w:t>6.1.1</w:t>
      </w:r>
      <w:r>
        <w:rPr>
          <w:rFonts w:hint="eastAsia" w:cs="宋体"/>
          <w:bCs/>
          <w:color w:val="000000"/>
          <w:sz w:val="24"/>
          <w:szCs w:val="24"/>
        </w:rPr>
        <w:t>质量性能验收合格后</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000000"/>
          <w:sz w:val="24"/>
          <w:szCs w:val="24"/>
        </w:rPr>
        <w:t>个工作日内，供方向需方交纳合同总价的</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FF0000"/>
          <w:sz w:val="24"/>
          <w:szCs w:val="24"/>
        </w:rPr>
        <w:t>%（</w:t>
      </w:r>
      <w:r>
        <w:rPr>
          <w:rFonts w:hint="eastAsia" w:cs="宋体"/>
          <w:bCs/>
          <w:color w:val="000000"/>
          <w:sz w:val="24"/>
          <w:szCs w:val="24"/>
        </w:rPr>
        <w:t>计人民币大写</w:t>
      </w:r>
      <w:r>
        <w:rPr>
          <w:rFonts w:hint="eastAsia" w:cs="宋体"/>
          <w:bCs/>
          <w:color w:val="000000"/>
          <w:sz w:val="24"/>
          <w:szCs w:val="24"/>
          <w:u w:val="single"/>
        </w:rPr>
        <w:t xml:space="preserve">            </w:t>
      </w:r>
      <w:r>
        <w:rPr>
          <w:rFonts w:hint="eastAsia" w:cs="宋体"/>
          <w:bCs/>
          <w:color w:val="000000"/>
          <w:sz w:val="24"/>
          <w:szCs w:val="24"/>
        </w:rPr>
        <w:t>元整，小写￥</w:t>
      </w:r>
      <w:r>
        <w:rPr>
          <w:rFonts w:hint="eastAsia" w:cs="宋体"/>
          <w:bCs/>
          <w:color w:val="000000"/>
          <w:sz w:val="24"/>
          <w:szCs w:val="24"/>
          <w:u w:val="single"/>
        </w:rPr>
        <w:t xml:space="preserve">          </w:t>
      </w:r>
      <w:r>
        <w:rPr>
          <w:rFonts w:hint="eastAsia" w:cs="宋体"/>
          <w:bCs/>
          <w:color w:val="000000"/>
          <w:sz w:val="24"/>
          <w:szCs w:val="24"/>
        </w:rPr>
        <w:t>）作履约保证金；需方收到履约保证金后</w:t>
      </w:r>
      <w:r>
        <w:rPr>
          <w:rFonts w:hint="eastAsia" w:cs="宋体"/>
          <w:bCs/>
          <w:color w:val="000000"/>
          <w:sz w:val="24"/>
          <w:szCs w:val="24"/>
          <w:u w:val="single"/>
        </w:rPr>
        <w:t xml:space="preserve"> </w:t>
      </w:r>
      <w:r>
        <w:rPr>
          <w:rFonts w:hint="eastAsia" w:cs="宋体"/>
          <w:bCs/>
          <w:color w:val="FF0000"/>
          <w:sz w:val="24"/>
          <w:szCs w:val="24"/>
          <w:u w:val="single"/>
        </w:rPr>
        <w:t xml:space="preserve"> </w:t>
      </w:r>
      <w:r>
        <w:rPr>
          <w:rFonts w:hint="eastAsia" w:cs="宋体"/>
          <w:bCs/>
          <w:color w:val="000000"/>
          <w:sz w:val="24"/>
          <w:szCs w:val="24"/>
          <w:u w:val="single"/>
        </w:rPr>
        <w:t xml:space="preserve"> </w:t>
      </w:r>
      <w:r>
        <w:rPr>
          <w:rFonts w:hint="eastAsia" w:cs="宋体"/>
          <w:bCs/>
          <w:color w:val="000000"/>
          <w:sz w:val="24"/>
          <w:szCs w:val="24"/>
        </w:rPr>
        <w:t>个工作日内，向供方支付</w:t>
      </w:r>
      <w:r>
        <w:rPr>
          <w:rFonts w:hint="eastAsia" w:cs="宋体"/>
          <w:bCs/>
          <w:color w:val="000000"/>
          <w:sz w:val="24"/>
          <w:szCs w:val="24"/>
          <w:u w:val="single"/>
        </w:rPr>
        <w:t xml:space="preserve"> </w:t>
      </w:r>
      <w:r>
        <w:rPr>
          <w:rFonts w:cs="宋体"/>
          <w:bCs/>
          <w:color w:val="000000"/>
          <w:sz w:val="24"/>
          <w:szCs w:val="24"/>
          <w:u w:val="single"/>
        </w:rPr>
        <w:t xml:space="preserve">   </w:t>
      </w:r>
      <w:r>
        <w:rPr>
          <w:rFonts w:hint="eastAsia" w:cs="宋体"/>
          <w:bCs/>
          <w:color w:val="FF0000"/>
          <w:sz w:val="24"/>
          <w:szCs w:val="24"/>
        </w:rPr>
        <w:t>%</w:t>
      </w:r>
      <w:r>
        <w:rPr>
          <w:rFonts w:hint="eastAsia" w:cs="宋体"/>
          <w:bCs/>
          <w:color w:val="000000"/>
          <w:sz w:val="24"/>
          <w:szCs w:val="24"/>
        </w:rPr>
        <w:t>的合同总价款，计人民币大写</w:t>
      </w:r>
      <w:r>
        <w:rPr>
          <w:rFonts w:hint="eastAsia" w:cs="宋体"/>
          <w:bCs/>
          <w:color w:val="000000"/>
          <w:sz w:val="24"/>
          <w:szCs w:val="24"/>
          <w:u w:val="single"/>
        </w:rPr>
        <w:t xml:space="preserve">            </w:t>
      </w:r>
      <w:r>
        <w:rPr>
          <w:rFonts w:hint="eastAsia" w:cs="宋体"/>
          <w:bCs/>
          <w:color w:val="000000"/>
          <w:sz w:val="24"/>
          <w:szCs w:val="24"/>
        </w:rPr>
        <w:t>元整，小写￥</w:t>
      </w:r>
      <w:r>
        <w:rPr>
          <w:rFonts w:hint="eastAsia" w:cs="宋体"/>
          <w:bCs/>
          <w:color w:val="000000"/>
          <w:sz w:val="24"/>
          <w:szCs w:val="24"/>
          <w:u w:val="single"/>
        </w:rPr>
        <w:t xml:space="preserve">         </w:t>
      </w:r>
      <w:r>
        <w:rPr>
          <w:rFonts w:hint="eastAsia" w:cs="宋体"/>
          <w:bCs/>
          <w:color w:val="000000"/>
          <w:sz w:val="24"/>
          <w:szCs w:val="24"/>
        </w:rPr>
        <w:t>。</w:t>
      </w:r>
    </w:p>
    <w:p>
      <w:pPr>
        <w:spacing w:line="400" w:lineRule="exact"/>
        <w:ind w:firstLine="480" w:firstLineChars="200"/>
        <w:rPr>
          <w:rFonts w:cs="宋体"/>
          <w:bCs/>
          <w:color w:val="000000"/>
          <w:sz w:val="24"/>
          <w:szCs w:val="24"/>
        </w:rPr>
      </w:pPr>
      <w:r>
        <w:rPr>
          <w:rFonts w:hint="eastAsia" w:ascii="宋体" w:hAnsi="宋体" w:cs="宋体"/>
          <w:sz w:val="24"/>
          <w:szCs w:val="24"/>
        </w:rPr>
        <w:t>6.1.2质</w:t>
      </w:r>
      <w:r>
        <w:rPr>
          <w:rFonts w:hint="eastAsia" w:cs="宋体"/>
          <w:bCs/>
          <w:sz w:val="24"/>
          <w:szCs w:val="24"/>
        </w:rPr>
        <w:t>量性能验收合格之日起</w:t>
      </w:r>
      <w:r>
        <w:rPr>
          <w:rFonts w:hint="eastAsia" w:cs="宋体"/>
          <w:b/>
          <w:sz w:val="24"/>
          <w:szCs w:val="24"/>
          <w:u w:val="single"/>
        </w:rPr>
        <w:t xml:space="preserve"> </w:t>
      </w:r>
      <w:r>
        <w:rPr>
          <w:rFonts w:cs="宋体"/>
          <w:b/>
          <w:color w:val="FF0000"/>
          <w:sz w:val="24"/>
          <w:szCs w:val="24"/>
          <w:u w:val="single"/>
        </w:rPr>
        <w:t xml:space="preserve">  </w:t>
      </w:r>
      <w:r>
        <w:rPr>
          <w:rFonts w:hint="eastAsia" w:cs="宋体"/>
          <w:bCs/>
          <w:sz w:val="24"/>
          <w:szCs w:val="24"/>
        </w:rPr>
        <w:t>年内若无遗留问题，需方将履约保证金本金全额无息退还供方；若有尚未解决的遗留问题，暂不予退还。</w:t>
      </w:r>
      <w:r>
        <w:rPr>
          <w:rFonts w:hint="eastAsia" w:cs="宋体"/>
          <w:vanish/>
          <w:color w:val="FF0000"/>
          <w:sz w:val="24"/>
          <w:szCs w:val="24"/>
        </w:rPr>
        <w:t>===================================================================</w:t>
      </w:r>
    </w:p>
    <w:p>
      <w:pPr>
        <w:spacing w:line="400" w:lineRule="exact"/>
        <w:ind w:firstLine="480" w:firstLineChars="200"/>
        <w:rPr>
          <w:rFonts w:cs="宋体"/>
          <w:color w:val="000000"/>
          <w:sz w:val="24"/>
          <w:szCs w:val="24"/>
        </w:rPr>
      </w:pPr>
      <w:r>
        <w:rPr>
          <w:rFonts w:hint="eastAsia" w:cs="宋体"/>
          <w:color w:val="000000"/>
          <w:sz w:val="24"/>
          <w:szCs w:val="24"/>
        </w:rPr>
        <w:t>6.2 需方每次向供方付款前，供方应该先行向需方提供等额正式发票（增值税专用发票）。货款及履约保证金均以银行转账方式支付。</w:t>
      </w:r>
    </w:p>
    <w:p>
      <w:pPr>
        <w:spacing w:line="400" w:lineRule="exact"/>
        <w:ind w:firstLine="482" w:firstLineChars="200"/>
        <w:rPr>
          <w:rFonts w:cs="宋体"/>
          <w:b/>
          <w:bCs/>
          <w:color w:val="000000"/>
          <w:sz w:val="24"/>
          <w:szCs w:val="24"/>
        </w:rPr>
      </w:pPr>
      <w:r>
        <w:rPr>
          <w:rFonts w:hint="eastAsia" w:cs="宋体"/>
          <w:b/>
          <w:bCs/>
          <w:color w:val="000000"/>
          <w:sz w:val="24"/>
          <w:szCs w:val="24"/>
        </w:rPr>
        <w:t>供方银行账号及税号信息</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93"/>
        <w:gridCol w:w="5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开户名称：</w:t>
            </w:r>
          </w:p>
        </w:tc>
        <w:tc>
          <w:tcPr>
            <w:tcW w:w="5272" w:type="dxa"/>
            <w:tcBorders>
              <w:top w:val="nil"/>
              <w:left w:val="nil"/>
              <w:bottom w:val="single" w:color="auto" w:sz="4" w:space="0"/>
              <w:right w:val="nil"/>
            </w:tcBorders>
          </w:tcPr>
          <w:p>
            <w:pPr>
              <w:spacing w:line="400" w:lineRule="exact"/>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开户银行：</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银行账号：</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银行行号：</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ascii="宋体" w:hAnsi="宋体" w:cs="宋体"/>
                <w:sz w:val="24"/>
                <w:szCs w:val="24"/>
              </w:rPr>
              <w:t>统一社会信用代码</w:t>
            </w:r>
            <w:r>
              <w:rPr>
                <w:rFonts w:hint="eastAsia" w:cs="宋体"/>
                <w:color w:val="000000"/>
                <w:sz w:val="24"/>
                <w:szCs w:val="24"/>
              </w:rPr>
              <w:t>：</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color w:val="000000"/>
                <w:sz w:val="24"/>
                <w:szCs w:val="24"/>
              </w:rPr>
            </w:pPr>
            <w:r>
              <w:rPr>
                <w:rFonts w:hint="eastAsia" w:cs="宋体"/>
                <w:color w:val="000000"/>
                <w:sz w:val="24"/>
                <w:szCs w:val="24"/>
              </w:rPr>
              <w:t>注册地址：</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93" w:type="dxa"/>
            <w:tcBorders>
              <w:top w:val="nil"/>
              <w:left w:val="nil"/>
              <w:bottom w:val="nil"/>
              <w:right w:val="nil"/>
            </w:tcBorders>
          </w:tcPr>
          <w:p>
            <w:pPr>
              <w:spacing w:line="400" w:lineRule="exact"/>
              <w:ind w:firstLine="480" w:firstLineChars="200"/>
              <w:jc w:val="right"/>
              <w:rPr>
                <w:rFonts w:cs="宋体"/>
                <w:color w:val="000000"/>
                <w:sz w:val="24"/>
                <w:szCs w:val="24"/>
              </w:rPr>
            </w:pPr>
            <w:r>
              <w:rPr>
                <w:rFonts w:hint="eastAsia" w:cs="宋体"/>
                <w:color w:val="000000"/>
                <w:sz w:val="24"/>
                <w:szCs w:val="24"/>
              </w:rPr>
              <w:t>联系电话：</w:t>
            </w:r>
          </w:p>
        </w:tc>
        <w:tc>
          <w:tcPr>
            <w:tcW w:w="5272" w:type="dxa"/>
            <w:tcBorders>
              <w:top w:val="single" w:color="auto" w:sz="4" w:space="0"/>
              <w:left w:val="nil"/>
              <w:right w:val="nil"/>
            </w:tcBorders>
          </w:tcPr>
          <w:p>
            <w:pPr>
              <w:spacing w:line="400" w:lineRule="exact"/>
              <w:rPr>
                <w:rFonts w:cs="宋体"/>
                <w:b/>
                <w:bCs/>
                <w:color w:val="000000"/>
                <w:sz w:val="24"/>
                <w:szCs w:val="24"/>
              </w:rPr>
            </w:pPr>
          </w:p>
        </w:tc>
      </w:tr>
    </w:tbl>
    <w:p>
      <w:pPr>
        <w:spacing w:line="400" w:lineRule="exact"/>
        <w:ind w:firstLine="482" w:firstLineChars="200"/>
        <w:rPr>
          <w:rFonts w:cs="宋体"/>
          <w:b/>
          <w:bCs/>
          <w:color w:val="000000"/>
          <w:sz w:val="24"/>
          <w:szCs w:val="24"/>
        </w:rPr>
      </w:pPr>
    </w:p>
    <w:p>
      <w:pPr>
        <w:spacing w:line="400" w:lineRule="exact"/>
        <w:ind w:firstLine="482" w:firstLineChars="200"/>
        <w:rPr>
          <w:rFonts w:cs="宋体"/>
          <w:b/>
          <w:bCs/>
          <w:color w:val="000000"/>
          <w:sz w:val="24"/>
          <w:szCs w:val="24"/>
        </w:rPr>
      </w:pPr>
      <w:r>
        <w:rPr>
          <w:rFonts w:hint="eastAsia" w:cs="宋体"/>
          <w:b/>
          <w:bCs/>
          <w:color w:val="000000"/>
          <w:sz w:val="24"/>
          <w:szCs w:val="24"/>
        </w:rPr>
        <w:t>需方银行账号及税号信息</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04"/>
        <w:gridCol w:w="5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开户名称：</w:t>
            </w:r>
          </w:p>
        </w:tc>
        <w:tc>
          <w:tcPr>
            <w:tcW w:w="5272" w:type="dxa"/>
            <w:tcBorders>
              <w:top w:val="nil"/>
              <w:left w:val="nil"/>
              <w:bottom w:val="single" w:color="auto" w:sz="4" w:space="0"/>
              <w:right w:val="nil"/>
            </w:tcBorders>
          </w:tcPr>
          <w:p>
            <w:pPr>
              <w:spacing w:line="400" w:lineRule="exact"/>
              <w:rPr>
                <w:rFonts w:cs="宋体"/>
                <w:b/>
                <w:bCs/>
                <w:color w:val="000000"/>
                <w:sz w:val="24"/>
                <w:szCs w:val="24"/>
              </w:rPr>
            </w:pPr>
            <w:r>
              <w:rPr>
                <w:rFonts w:hint="eastAsia" w:cs="宋体"/>
                <w:b/>
                <w:bCs/>
                <w:color w:val="000000"/>
                <w:sz w:val="24"/>
                <w:szCs w:val="24"/>
              </w:rPr>
              <w:t>西南大学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开户银行：</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r>
              <w:rPr>
                <w:rFonts w:hint="eastAsia" w:cs="宋体"/>
                <w:b/>
                <w:bCs/>
                <w:color w:val="000000"/>
                <w:sz w:val="24"/>
                <w:szCs w:val="24"/>
              </w:rPr>
              <w:t>工行重庆朝阳支行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银行账号：</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r>
              <w:rPr>
                <w:rFonts w:hint="eastAsia" w:cs="宋体"/>
                <w:b/>
                <w:bCs/>
                <w:color w:val="000000"/>
                <w:sz w:val="24"/>
                <w:szCs w:val="24"/>
              </w:rPr>
              <w:t>3100028109024968877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cs="宋体"/>
                <w:color w:val="000000"/>
                <w:sz w:val="24"/>
                <w:szCs w:val="24"/>
              </w:rPr>
              <w:t>银行行号：</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r>
              <w:rPr>
                <w:rFonts w:hint="eastAsia" w:cs="宋体"/>
                <w:b/>
                <w:bCs/>
                <w:color w:val="000000"/>
                <w:sz w:val="24"/>
                <w:szCs w:val="24"/>
              </w:rPr>
              <w:t>102653000474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b/>
                <w:bCs/>
                <w:color w:val="000000"/>
                <w:sz w:val="24"/>
                <w:szCs w:val="24"/>
              </w:rPr>
            </w:pPr>
            <w:r>
              <w:rPr>
                <w:rFonts w:hint="eastAsia" w:ascii="宋体" w:hAnsi="宋体" w:cs="宋体"/>
                <w:sz w:val="24"/>
                <w:szCs w:val="24"/>
              </w:rPr>
              <w:t>统一社会信用代码</w:t>
            </w:r>
            <w:r>
              <w:rPr>
                <w:rFonts w:hint="eastAsia" w:cs="宋体"/>
                <w:color w:val="000000"/>
                <w:sz w:val="24"/>
                <w:szCs w:val="24"/>
              </w:rPr>
              <w:t>：</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r>
              <w:rPr>
                <w:rFonts w:cs="宋体"/>
                <w:b/>
                <w:bCs/>
                <w:color w:val="000000"/>
                <w:sz w:val="24"/>
                <w:szCs w:val="24"/>
              </w:rPr>
              <w:t>12100000450401733W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color w:val="000000"/>
                <w:sz w:val="24"/>
                <w:szCs w:val="24"/>
              </w:rPr>
            </w:pPr>
            <w:r>
              <w:rPr>
                <w:rFonts w:hint="eastAsia" w:cs="宋体"/>
                <w:color w:val="000000"/>
                <w:sz w:val="24"/>
                <w:szCs w:val="24"/>
              </w:rPr>
              <w:t>注册地址：</w:t>
            </w:r>
          </w:p>
        </w:tc>
        <w:tc>
          <w:tcPr>
            <w:tcW w:w="5272" w:type="dxa"/>
            <w:tcBorders>
              <w:top w:val="single" w:color="auto" w:sz="4" w:space="0"/>
              <w:left w:val="nil"/>
              <w:bottom w:val="single" w:color="auto" w:sz="4" w:space="0"/>
              <w:right w:val="nil"/>
            </w:tcBorders>
          </w:tcPr>
          <w:p>
            <w:pPr>
              <w:spacing w:line="400" w:lineRule="exact"/>
              <w:rPr>
                <w:rFonts w:cs="宋体"/>
                <w:b/>
                <w:bCs/>
                <w:color w:val="000000"/>
                <w:sz w:val="24"/>
                <w:szCs w:val="24"/>
              </w:rPr>
            </w:pPr>
            <w:r>
              <w:rPr>
                <w:rFonts w:hint="eastAsia" w:cs="宋体"/>
                <w:b/>
                <w:bCs/>
                <w:color w:val="000000"/>
                <w:sz w:val="24"/>
                <w:szCs w:val="24"/>
              </w:rPr>
              <w:t>重庆市北碚区天生路2号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4" w:type="dxa"/>
            <w:tcBorders>
              <w:top w:val="nil"/>
              <w:left w:val="nil"/>
              <w:bottom w:val="nil"/>
              <w:right w:val="nil"/>
            </w:tcBorders>
          </w:tcPr>
          <w:p>
            <w:pPr>
              <w:spacing w:line="400" w:lineRule="exact"/>
              <w:ind w:firstLine="480" w:firstLineChars="200"/>
              <w:jc w:val="right"/>
              <w:rPr>
                <w:rFonts w:cs="宋体"/>
                <w:color w:val="000000"/>
                <w:sz w:val="24"/>
                <w:szCs w:val="24"/>
              </w:rPr>
            </w:pPr>
            <w:r>
              <w:rPr>
                <w:rFonts w:hint="eastAsia" w:cs="宋体"/>
                <w:color w:val="000000"/>
                <w:sz w:val="24"/>
                <w:szCs w:val="24"/>
              </w:rPr>
              <w:t>联系电话：</w:t>
            </w:r>
          </w:p>
        </w:tc>
        <w:tc>
          <w:tcPr>
            <w:tcW w:w="5272" w:type="dxa"/>
            <w:tcBorders>
              <w:top w:val="single" w:color="auto" w:sz="4" w:space="0"/>
              <w:left w:val="nil"/>
              <w:right w:val="nil"/>
            </w:tcBorders>
          </w:tcPr>
          <w:p>
            <w:pPr>
              <w:spacing w:line="400" w:lineRule="exact"/>
              <w:rPr>
                <w:rFonts w:cs="宋体"/>
                <w:b/>
                <w:bCs/>
                <w:color w:val="FF0000"/>
                <w:sz w:val="24"/>
                <w:szCs w:val="24"/>
              </w:rPr>
            </w:pPr>
            <w:r>
              <w:rPr>
                <w:rFonts w:hint="eastAsia" w:cs="宋体"/>
                <w:b/>
                <w:bCs/>
                <w:vanish/>
                <w:color w:val="FF0000"/>
                <w:sz w:val="24"/>
                <w:szCs w:val="24"/>
              </w:rPr>
              <w:t>填写经办人及联系电话</w:t>
            </w:r>
          </w:p>
        </w:tc>
      </w:tr>
    </w:tbl>
    <w:p>
      <w:pPr>
        <w:spacing w:before="240"/>
        <w:ind w:firstLine="565" w:firstLineChars="201"/>
        <w:jc w:val="left"/>
        <w:outlineLvl w:val="0"/>
        <w:rPr>
          <w:rFonts w:ascii="Calibri Light" w:hAnsi="Calibri Light"/>
          <w:b/>
          <w:bCs/>
        </w:rPr>
      </w:pPr>
      <w:r>
        <w:rPr>
          <w:rFonts w:hint="eastAsia" w:ascii="Calibri Light" w:hAnsi="Calibri Light"/>
          <w:b/>
          <w:bCs/>
        </w:rPr>
        <w:t>七、售后服务</w:t>
      </w:r>
    </w:p>
    <w:p>
      <w:pPr>
        <w:spacing w:line="400" w:lineRule="exact"/>
        <w:ind w:firstLine="480" w:firstLineChars="200"/>
        <w:rPr>
          <w:rFonts w:ascii="宋体" w:hAnsi="宋体" w:cs="宋体"/>
          <w:sz w:val="24"/>
          <w:szCs w:val="24"/>
        </w:rPr>
      </w:pPr>
      <w:r>
        <w:rPr>
          <w:rFonts w:hint="eastAsia" w:ascii="宋体" w:hAnsi="宋体" w:cs="宋体"/>
          <w:sz w:val="24"/>
          <w:szCs w:val="24"/>
        </w:rPr>
        <w:t>7.1质保期为质量性能验收合格后</w:t>
      </w:r>
      <w:r>
        <w:rPr>
          <w:rFonts w:hint="eastAsia" w:ascii="宋体" w:hAnsi="宋体" w:cs="宋体"/>
          <w:b/>
          <w:bCs/>
          <w:color w:val="FF0000"/>
          <w:sz w:val="24"/>
          <w:szCs w:val="24"/>
          <w:u w:val="single"/>
        </w:rPr>
        <w:t xml:space="preserve">  </w:t>
      </w:r>
      <w:r>
        <w:rPr>
          <w:rFonts w:ascii="宋体" w:hAnsi="宋体" w:cs="宋体"/>
          <w:b/>
          <w:bCs/>
          <w:color w:val="FF0000"/>
          <w:sz w:val="24"/>
          <w:szCs w:val="24"/>
          <w:u w:val="single"/>
        </w:rPr>
        <w:t>5</w:t>
      </w:r>
      <w:r>
        <w:rPr>
          <w:rFonts w:hint="eastAsia" w:ascii="宋体" w:hAnsi="宋体" w:cs="宋体"/>
          <w:b/>
          <w:bCs/>
          <w:color w:val="FF0000"/>
          <w:sz w:val="24"/>
          <w:szCs w:val="24"/>
          <w:u w:val="single"/>
        </w:rPr>
        <w:t xml:space="preserve"> </w:t>
      </w:r>
      <w:r>
        <w:rPr>
          <w:rFonts w:ascii="宋体" w:hAnsi="宋体" w:cs="宋体"/>
          <w:b/>
          <w:bCs/>
          <w:color w:val="FF0000"/>
          <w:sz w:val="24"/>
          <w:szCs w:val="24"/>
          <w:u w:val="single"/>
        </w:rPr>
        <w:t xml:space="preserve"> </w:t>
      </w:r>
      <w:r>
        <w:rPr>
          <w:rFonts w:hint="eastAsia" w:ascii="宋体" w:hAnsi="宋体" w:cs="宋体"/>
          <w:color w:val="FF0000"/>
          <w:sz w:val="24"/>
          <w:szCs w:val="24"/>
        </w:rPr>
        <w:t>年</w:t>
      </w:r>
      <w:r>
        <w:rPr>
          <w:rFonts w:hint="eastAsia" w:ascii="宋体" w:hAnsi="宋体" w:cs="宋体"/>
          <w:sz w:val="24"/>
          <w:szCs w:val="24"/>
        </w:rPr>
        <w:t>，本合同约定的质保期与货物保修证书或国家规定不一致的，以时间较长者为准。</w:t>
      </w:r>
    </w:p>
    <w:p>
      <w:pPr>
        <w:spacing w:line="400" w:lineRule="exact"/>
        <w:ind w:firstLine="480" w:firstLineChars="200"/>
        <w:rPr>
          <w:rFonts w:ascii="宋体" w:hAnsi="宋体" w:cs="宋体"/>
          <w:sz w:val="24"/>
          <w:szCs w:val="24"/>
        </w:rPr>
      </w:pPr>
      <w:r>
        <w:rPr>
          <w:rFonts w:hint="eastAsia" w:ascii="宋体" w:hAnsi="宋体" w:cs="宋体"/>
          <w:sz w:val="24"/>
          <w:szCs w:val="24"/>
        </w:rPr>
        <w:t>7.2 质保期内供方应按不低于国家法律法规规定的、货物保修证书及其他资料载明的、本合同及项目其他文件要求的内容提供质保服务，质保期内的所有服务及产生的费用均由供方承担。</w:t>
      </w:r>
    </w:p>
    <w:p>
      <w:pPr>
        <w:spacing w:line="400" w:lineRule="exact"/>
        <w:ind w:firstLine="480" w:firstLineChars="200"/>
        <w:rPr>
          <w:rFonts w:ascii="宋体" w:hAnsi="宋体" w:cs="宋体"/>
          <w:sz w:val="24"/>
          <w:szCs w:val="24"/>
        </w:rPr>
      </w:pPr>
      <w:r>
        <w:rPr>
          <w:rFonts w:hint="eastAsia" w:ascii="宋体" w:hAnsi="宋体" w:cs="宋体"/>
          <w:sz w:val="24"/>
          <w:szCs w:val="24"/>
        </w:rPr>
        <w:t>7.3 质保范围：本合同所涵盖的供方提供的所有货物，</w:t>
      </w:r>
      <w:r>
        <w:rPr>
          <w:rFonts w:hint="eastAsia" w:ascii="宋体" w:hAnsi="宋体" w:cs="宋体"/>
          <w:sz w:val="24"/>
          <w:szCs w:val="24"/>
          <w:u w:val="single"/>
        </w:rPr>
        <w:t>包括但不限于本合同列明的所有仪器、设备的硬件、软件、集成系统及其零部件、配件、随机工具和赠品等。</w:t>
      </w:r>
      <w:r>
        <w:rPr>
          <w:rFonts w:hint="eastAsia" w:ascii="宋体" w:hAnsi="宋体" w:cs="宋体"/>
          <w:vanish/>
          <w:color w:val="FF0000"/>
          <w:sz w:val="24"/>
          <w:szCs w:val="24"/>
          <w:u w:val="single"/>
        </w:rPr>
        <w:t>/包括但不限于以下内容：（</w:t>
      </w:r>
      <w:r>
        <w:rPr>
          <w:rFonts w:hint="eastAsia" w:ascii="宋体" w:hAnsi="宋体"/>
          <w:vanish/>
          <w:color w:val="FF0000"/>
          <w:sz w:val="24"/>
          <w:szCs w:val="24"/>
          <w:u w:val="single"/>
        </w:rPr>
        <w:t>根据投标或响应文件承诺内容填写</w:t>
      </w:r>
      <w:r>
        <w:rPr>
          <w:rFonts w:hint="eastAsia" w:ascii="宋体" w:hAnsi="宋体" w:cs="宋体"/>
          <w:vanish/>
          <w:color w:val="FF0000"/>
          <w:sz w:val="24"/>
          <w:szCs w:val="24"/>
          <w:u w:val="single"/>
        </w:rPr>
        <w:t>）</w:t>
      </w:r>
      <w:r>
        <w:rPr>
          <w:rFonts w:hint="eastAsia" w:ascii="宋体" w:hAnsi="宋体" w:cs="宋体"/>
          <w:vanish/>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7.4 质保服务内容</w:t>
      </w:r>
    </w:p>
    <w:p>
      <w:pPr>
        <w:spacing w:line="400" w:lineRule="exact"/>
        <w:ind w:left="142" w:hanging="141" w:hangingChars="59"/>
        <w:rPr>
          <w:rFonts w:ascii="宋体" w:hAnsi="宋体" w:cs="宋体"/>
          <w:sz w:val="24"/>
          <w:szCs w:val="24"/>
        </w:rPr>
      </w:pPr>
      <w:r>
        <w:rPr>
          <w:rFonts w:hint="eastAsia" w:ascii="宋体" w:hAnsi="宋体" w:cs="宋体"/>
          <w:sz w:val="24"/>
          <w:szCs w:val="24"/>
        </w:rPr>
        <w:t>7.4.1 质保期内出现质量问题，供方在接到电话通知后</w:t>
      </w:r>
      <w:r>
        <w:rPr>
          <w:rFonts w:ascii="宋体" w:hAnsi="宋体" w:cs="宋体"/>
          <w:color w:val="FF0000"/>
          <w:sz w:val="24"/>
          <w:szCs w:val="24"/>
          <w:u w:val="single"/>
        </w:rPr>
        <w:t xml:space="preserve"> 3</w:t>
      </w:r>
      <w:r>
        <w:rPr>
          <w:rFonts w:hint="eastAsia" w:ascii="宋体" w:hAnsi="宋体" w:cs="宋体"/>
          <w:color w:val="FF0000"/>
          <w:sz w:val="24"/>
          <w:szCs w:val="24"/>
          <w:u w:val="single"/>
        </w:rPr>
        <w:t xml:space="preserve"> </w:t>
      </w:r>
      <w:r>
        <w:rPr>
          <w:rFonts w:ascii="宋体" w:hAnsi="宋体" w:cs="宋体"/>
          <w:color w:val="FF0000"/>
          <w:sz w:val="24"/>
          <w:szCs w:val="24"/>
          <w:u w:val="single"/>
        </w:rPr>
        <w:t xml:space="preserve"> </w:t>
      </w:r>
      <w:r>
        <w:rPr>
          <w:rFonts w:hint="eastAsia" w:ascii="宋体" w:hAnsi="宋体" w:cs="宋体"/>
          <w:color w:val="FF0000"/>
          <w:sz w:val="24"/>
          <w:szCs w:val="24"/>
        </w:rPr>
        <w:t>小时</w:t>
      </w:r>
      <w:r>
        <w:rPr>
          <w:rFonts w:hint="eastAsia" w:ascii="宋体" w:hAnsi="宋体" w:cs="宋体"/>
          <w:sz w:val="24"/>
          <w:szCs w:val="24"/>
        </w:rPr>
        <w:t>内响应到场，</w:t>
      </w:r>
      <w:bookmarkStart w:id="80" w:name="OLE_LINK2"/>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color w:val="FF0000"/>
          <w:sz w:val="24"/>
          <w:szCs w:val="24"/>
          <w:u w:val="single"/>
        </w:rPr>
        <w:t xml:space="preserve">    </w:t>
      </w:r>
      <w:bookmarkEnd w:id="80"/>
      <w:r>
        <w:rPr>
          <w:rFonts w:hint="eastAsia" w:ascii="宋体" w:hAnsi="宋体" w:cs="宋体"/>
          <w:color w:val="FF0000"/>
          <w:sz w:val="24"/>
          <w:szCs w:val="24"/>
        </w:rPr>
        <w:t>小时</w:t>
      </w:r>
      <w:r>
        <w:rPr>
          <w:rFonts w:hint="eastAsia" w:ascii="宋体" w:hAnsi="宋体" w:cs="宋体"/>
          <w:sz w:val="24"/>
          <w:szCs w:val="24"/>
        </w:rPr>
        <w:t>内指派专业人员完成修复，确保货物正常运行；未在前述时间内响应的，视为拒绝维修。售后服务维修中使用的备品备件及易损件应为原厂配件，未经需方同意不得使用非原厂配件。</w:t>
      </w:r>
    </w:p>
    <w:p>
      <w:pPr>
        <w:spacing w:line="400" w:lineRule="exact"/>
        <w:ind w:firstLine="480" w:firstLineChars="200"/>
        <w:rPr>
          <w:rFonts w:ascii="宋体" w:hAnsi="宋体" w:cs="宋体"/>
          <w:sz w:val="24"/>
          <w:szCs w:val="24"/>
        </w:rPr>
      </w:pPr>
      <w:r>
        <w:rPr>
          <w:rFonts w:hint="eastAsia" w:ascii="宋体" w:hAnsi="宋体" w:cs="宋体"/>
          <w:sz w:val="24"/>
          <w:szCs w:val="24"/>
        </w:rPr>
        <w:t xml:space="preserve">7.4.2 </w:t>
      </w:r>
      <w:r>
        <w:rPr>
          <w:rFonts w:ascii="宋体" w:hAnsi="宋体" w:cs="宋体"/>
          <w:sz w:val="24"/>
          <w:szCs w:val="24"/>
        </w:rPr>
        <w:t>在</w:t>
      </w:r>
      <w:r>
        <w:rPr>
          <w:rFonts w:hint="eastAsia" w:ascii="宋体" w:hAnsi="宋体" w:cs="宋体"/>
          <w:sz w:val="24"/>
          <w:szCs w:val="24"/>
        </w:rPr>
        <w:t>本合同约定时间内不能修复的，供方予以免费更换或提供相同功能档次的货物予以</w:t>
      </w:r>
      <w:r>
        <w:rPr>
          <w:rFonts w:ascii="宋体" w:hAnsi="宋体" w:cs="宋体"/>
          <w:sz w:val="24"/>
          <w:szCs w:val="24"/>
        </w:rPr>
        <w:t>临时调换，保证</w:t>
      </w:r>
      <w:r>
        <w:rPr>
          <w:rFonts w:hint="eastAsia" w:ascii="宋体" w:hAnsi="宋体" w:cs="宋体"/>
          <w:sz w:val="24"/>
          <w:szCs w:val="24"/>
        </w:rPr>
        <w:t>需</w:t>
      </w:r>
      <w:r>
        <w:rPr>
          <w:rFonts w:ascii="宋体" w:hAnsi="宋体" w:cs="宋体"/>
          <w:sz w:val="24"/>
          <w:szCs w:val="24"/>
        </w:rPr>
        <w:t>方的正常使用</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7.4.3 更换的货物及其软件、硬件、集成系统及其零部件、配件、附近、随机工具和赠品等应全新、合格，与原件品牌、规格、型号等一致，符合本合同质量要求。需方有权要求对更换的货物等重新组织验收。</w:t>
      </w:r>
    </w:p>
    <w:p>
      <w:pPr>
        <w:spacing w:line="400" w:lineRule="exact"/>
        <w:ind w:firstLine="480" w:firstLineChars="200"/>
        <w:rPr>
          <w:rFonts w:ascii="宋体" w:hAnsi="宋体"/>
          <w:sz w:val="24"/>
          <w:szCs w:val="24"/>
        </w:rPr>
      </w:pPr>
      <w:r>
        <w:rPr>
          <w:rFonts w:hint="eastAsia" w:ascii="宋体" w:hAnsi="宋体" w:cs="宋体"/>
          <w:sz w:val="24"/>
          <w:szCs w:val="24"/>
        </w:rPr>
        <w:t>7.4.4 临时调换后，供方应在需方确定的时限内对货物尽快修复，同时，</w:t>
      </w:r>
      <w:r>
        <w:rPr>
          <w:rFonts w:hint="eastAsia" w:ascii="宋体" w:hAnsi="宋体"/>
          <w:sz w:val="24"/>
          <w:szCs w:val="24"/>
        </w:rPr>
        <w:t>需方有权随时了解或检查货物修复进度。</w:t>
      </w:r>
    </w:p>
    <w:p>
      <w:pPr>
        <w:spacing w:line="400" w:lineRule="exact"/>
        <w:ind w:firstLine="480" w:firstLineChars="200"/>
        <w:rPr>
          <w:rFonts w:ascii="宋体" w:hAnsi="宋体" w:cs="宋体"/>
          <w:sz w:val="24"/>
          <w:szCs w:val="24"/>
        </w:rPr>
      </w:pPr>
      <w:r>
        <w:rPr>
          <w:rFonts w:hint="eastAsia" w:ascii="宋体" w:hAnsi="宋体" w:cs="宋体"/>
          <w:sz w:val="24"/>
          <w:szCs w:val="24"/>
        </w:rPr>
        <w:t>7.4.5 质保期内的货物</w:t>
      </w:r>
      <w:r>
        <w:rPr>
          <w:rFonts w:ascii="宋体" w:hAnsi="宋体" w:cs="宋体"/>
          <w:sz w:val="24"/>
          <w:szCs w:val="24"/>
        </w:rPr>
        <w:t>维护</w:t>
      </w:r>
      <w:r>
        <w:rPr>
          <w:rFonts w:hint="eastAsia" w:ascii="宋体" w:hAnsi="宋体" w:cs="宋体"/>
          <w:sz w:val="24"/>
          <w:szCs w:val="24"/>
        </w:rPr>
        <w:t>保养：</w:t>
      </w:r>
      <w:r>
        <w:rPr>
          <w:rFonts w:hint="eastAsia" w:ascii="宋体" w:hAnsi="宋体" w:cs="宋体"/>
          <w:sz w:val="24"/>
          <w:szCs w:val="24"/>
          <w:u w:val="single"/>
        </w:rPr>
        <w:t xml:space="preserve">                                               </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7.4.6 其他质保服务：</w:t>
      </w:r>
      <w:r>
        <w:rPr>
          <w:rFonts w:hint="eastAsia" w:ascii="宋体" w:hAnsi="宋体" w:cs="宋体"/>
          <w:sz w:val="24"/>
          <w:szCs w:val="24"/>
          <w:u w:val="single"/>
        </w:rPr>
        <w:t xml:space="preserve">                                                         </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7.5 仪器设备配套软件（硬件）的质保服务内容</w:t>
      </w:r>
    </w:p>
    <w:p>
      <w:pPr>
        <w:spacing w:line="400" w:lineRule="exact"/>
        <w:ind w:firstLine="480" w:firstLineChars="200"/>
        <w:rPr>
          <w:rFonts w:ascii="宋体" w:hAnsi="宋体" w:cs="宋体"/>
          <w:sz w:val="24"/>
          <w:szCs w:val="24"/>
        </w:rPr>
      </w:pPr>
      <w:r>
        <w:rPr>
          <w:rFonts w:hint="eastAsia" w:ascii="宋体" w:hAnsi="宋体" w:cs="宋体"/>
          <w:sz w:val="24"/>
          <w:szCs w:val="24"/>
        </w:rPr>
        <w:t>7.5.1 供方应在质保期内对软件（硬件）免费升级，免费提供技术支持，免费解决软件（硬件）使用过程中的故障、意外。</w:t>
      </w:r>
    </w:p>
    <w:p>
      <w:pPr>
        <w:spacing w:line="400" w:lineRule="exact"/>
        <w:ind w:firstLine="480" w:firstLineChars="200"/>
        <w:rPr>
          <w:rFonts w:ascii="宋体" w:hAnsi="宋体" w:cs="宋体"/>
          <w:sz w:val="24"/>
          <w:szCs w:val="24"/>
        </w:rPr>
      </w:pPr>
      <w:r>
        <w:rPr>
          <w:rFonts w:hint="eastAsia" w:ascii="宋体" w:hAnsi="宋体" w:cs="宋体"/>
          <w:sz w:val="24"/>
          <w:szCs w:val="24"/>
        </w:rPr>
        <w:t>7.5.2 供方对其提供的软件（硬件）自身漏洞、故障，应在接到需方电话通知后</w:t>
      </w:r>
      <w:r>
        <w:rPr>
          <w:rFonts w:hint="eastAsia" w:ascii="宋体" w:hAnsi="宋体" w:cs="宋体"/>
          <w:sz w:val="24"/>
          <w:szCs w:val="24"/>
          <w:u w:val="single"/>
        </w:rPr>
        <w:t xml:space="preserve">    </w:t>
      </w:r>
      <w:r>
        <w:rPr>
          <w:rFonts w:hint="eastAsia" w:ascii="宋体" w:hAnsi="宋体" w:cs="宋体"/>
          <w:sz w:val="24"/>
          <w:szCs w:val="24"/>
        </w:rPr>
        <w:t>日内免费修复。</w:t>
      </w:r>
    </w:p>
    <w:p>
      <w:pPr>
        <w:spacing w:line="400" w:lineRule="exact"/>
        <w:ind w:firstLine="480" w:firstLineChars="200"/>
        <w:rPr>
          <w:rFonts w:ascii="宋体" w:hAnsi="宋体" w:cs="宋体"/>
          <w:sz w:val="24"/>
          <w:szCs w:val="24"/>
        </w:rPr>
      </w:pPr>
      <w:r>
        <w:rPr>
          <w:rFonts w:hint="eastAsia" w:ascii="宋体" w:hAnsi="宋体" w:cs="宋体"/>
          <w:sz w:val="24"/>
          <w:szCs w:val="24"/>
        </w:rPr>
        <w:t>7.5.3 对定制软件或集成系统的其他质保服务：</w:t>
      </w:r>
      <w:r>
        <w:rPr>
          <w:rFonts w:hint="eastAsia" w:ascii="宋体" w:hAnsi="宋体" w:cs="宋体"/>
          <w:sz w:val="24"/>
          <w:szCs w:val="24"/>
          <w:u w:val="single"/>
        </w:rPr>
        <w:t xml:space="preserve">                                  </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7.5.4 供方提供的软件（硬件）出现本合同第7.5条未规定的情况的，适用本合同第七条对售后服务的其他规定。</w:t>
      </w:r>
    </w:p>
    <w:p>
      <w:pPr>
        <w:spacing w:line="400" w:lineRule="exact"/>
        <w:ind w:firstLine="480" w:firstLineChars="200"/>
        <w:rPr>
          <w:rFonts w:ascii="宋体" w:hAnsi="宋体" w:cs="宋体"/>
          <w:sz w:val="24"/>
          <w:szCs w:val="24"/>
        </w:rPr>
      </w:pPr>
      <w:r>
        <w:rPr>
          <w:rFonts w:hint="eastAsia" w:ascii="宋体" w:hAnsi="宋体" w:cs="宋体"/>
          <w:sz w:val="24"/>
          <w:szCs w:val="24"/>
        </w:rPr>
        <w:t>7.6 货物发生质量问题，由供方进行维修、更换的，</w:t>
      </w:r>
      <w:r>
        <w:rPr>
          <w:rFonts w:hint="eastAsia" w:ascii="宋体" w:hAnsi="宋体" w:cs="宋体"/>
          <w:sz w:val="24"/>
          <w:szCs w:val="21"/>
        </w:rPr>
        <w:t>维修</w:t>
      </w:r>
      <w:r>
        <w:rPr>
          <w:rFonts w:ascii="宋体" w:hAnsi="宋体" w:cs="宋体"/>
          <w:sz w:val="24"/>
          <w:szCs w:val="21"/>
        </w:rPr>
        <w:t>或更换件的质保期相应延长。</w:t>
      </w:r>
    </w:p>
    <w:p>
      <w:pPr>
        <w:spacing w:line="400" w:lineRule="exact"/>
        <w:ind w:firstLine="480" w:firstLineChars="200"/>
        <w:rPr>
          <w:rFonts w:ascii="宋体" w:hAnsi="宋体" w:cs="宋体"/>
          <w:sz w:val="24"/>
          <w:szCs w:val="24"/>
        </w:rPr>
      </w:pPr>
      <w:r>
        <w:rPr>
          <w:rFonts w:hint="eastAsia" w:ascii="宋体" w:hAnsi="宋体" w:cs="宋体"/>
          <w:sz w:val="24"/>
          <w:szCs w:val="24"/>
        </w:rPr>
        <w:t>7.7 供方须指派专人负责与需方联系售后服务事宜：</w:t>
      </w:r>
    </w:p>
    <w:p>
      <w:pPr>
        <w:spacing w:line="400" w:lineRule="exact"/>
        <w:ind w:firstLine="480" w:firstLineChars="200"/>
        <w:rPr>
          <w:rFonts w:ascii="宋体" w:hAnsi="宋体" w:cs="宋体"/>
          <w:sz w:val="24"/>
          <w:szCs w:val="24"/>
        </w:rPr>
      </w:pPr>
      <w:r>
        <w:rPr>
          <w:rFonts w:hint="eastAsia" w:ascii="宋体" w:hAnsi="宋体" w:cs="宋体"/>
          <w:sz w:val="24"/>
          <w:szCs w:val="24"/>
        </w:rPr>
        <w:t>供方售后服务联系人：</w:t>
      </w:r>
      <w:r>
        <w:rPr>
          <w:rFonts w:hint="eastAsia" w:ascii="宋体" w:hAnsi="宋体" w:cs="宋体"/>
          <w:sz w:val="24"/>
          <w:szCs w:val="24"/>
          <w:u w:val="single"/>
        </w:rPr>
        <w:t xml:space="preserve">              </w:t>
      </w:r>
      <w:r>
        <w:rPr>
          <w:rFonts w:hint="eastAsia" w:ascii="宋体" w:hAnsi="宋体" w:cs="宋体"/>
          <w:sz w:val="24"/>
          <w:szCs w:val="24"/>
        </w:rPr>
        <w:t>，联系电话：</w:t>
      </w:r>
      <w:r>
        <w:rPr>
          <w:rFonts w:hint="eastAsia" w:ascii="宋体" w:hAnsi="宋体" w:cs="宋体"/>
          <w:sz w:val="24"/>
          <w:szCs w:val="24"/>
          <w:u w:val="single"/>
        </w:rPr>
        <w:t xml:space="preserve">                     </w:t>
      </w:r>
      <w:r>
        <w:rPr>
          <w:rFonts w:hint="eastAsia" w:ascii="宋体" w:hAnsi="宋体" w:cs="宋体"/>
          <w:sz w:val="24"/>
          <w:szCs w:val="24"/>
        </w:rPr>
        <w:t>。</w:t>
      </w:r>
    </w:p>
    <w:p>
      <w:pPr>
        <w:spacing w:line="400" w:lineRule="exact"/>
        <w:ind w:firstLine="480" w:firstLineChars="200"/>
        <w:rPr>
          <w:rFonts w:cs="宋体"/>
          <w:sz w:val="24"/>
          <w:szCs w:val="24"/>
        </w:rPr>
      </w:pPr>
      <w:r>
        <w:rPr>
          <w:rFonts w:hint="eastAsia" w:ascii="宋体" w:hAnsi="宋体" w:cs="宋体"/>
          <w:sz w:val="24"/>
          <w:szCs w:val="24"/>
        </w:rPr>
        <w:t xml:space="preserve">7.8 </w:t>
      </w:r>
      <w:r>
        <w:rPr>
          <w:rFonts w:hint="eastAsia" w:cs="宋体"/>
          <w:sz w:val="24"/>
          <w:szCs w:val="24"/>
        </w:rPr>
        <w:t>质保期后服务：</w:t>
      </w:r>
      <w:r>
        <w:rPr>
          <w:rFonts w:hint="eastAsia" w:cs="宋体"/>
          <w:sz w:val="24"/>
          <w:szCs w:val="24"/>
          <w:u w:val="single"/>
        </w:rPr>
        <w:t>终身免费上门维修；涉及配件更换只收配件成本费。</w:t>
      </w:r>
    </w:p>
    <w:p>
      <w:pPr>
        <w:spacing w:before="240"/>
        <w:ind w:firstLine="565" w:firstLineChars="201"/>
        <w:jc w:val="left"/>
        <w:outlineLvl w:val="0"/>
        <w:rPr>
          <w:rFonts w:ascii="Calibri Light" w:hAnsi="Calibri Light"/>
          <w:b/>
          <w:bCs/>
        </w:rPr>
      </w:pPr>
      <w:r>
        <w:rPr>
          <w:rFonts w:hint="eastAsia" w:ascii="Calibri Light" w:hAnsi="Calibri Light"/>
          <w:b/>
          <w:bCs/>
        </w:rPr>
        <w:t>八、违约责任</w:t>
      </w:r>
      <w:r>
        <w:rPr>
          <w:rFonts w:hint="eastAsia" w:ascii="宋体" w:hAnsi="宋体"/>
          <w:b/>
          <w:bCs/>
          <w:vanish/>
          <w:color w:val="FF0000"/>
          <w:sz w:val="24"/>
          <w:szCs w:val="24"/>
          <w:u w:val="single"/>
        </w:rPr>
        <w:t>（若有异议，请根据行业标准填写，并与用户确认，或根据投标响应文件、承诺内容填写）</w:t>
      </w:r>
    </w:p>
    <w:p>
      <w:pPr>
        <w:spacing w:line="400" w:lineRule="exact"/>
        <w:ind w:firstLine="480" w:firstLineChars="200"/>
        <w:rPr>
          <w:rFonts w:ascii="宋体" w:hAnsi="宋体" w:cs="宋体"/>
          <w:color w:val="333333"/>
          <w:sz w:val="24"/>
          <w:szCs w:val="24"/>
        </w:rPr>
      </w:pPr>
      <w:r>
        <w:rPr>
          <w:rFonts w:hint="eastAsia" w:ascii="宋体" w:hAnsi="宋体" w:cs="宋体"/>
          <w:color w:val="333333"/>
          <w:sz w:val="24"/>
          <w:szCs w:val="24"/>
        </w:rPr>
        <w:t>8.1需方无正当理由拒收仪器设备的，应向供方支付合同总价</w:t>
      </w:r>
      <w:r>
        <w:rPr>
          <w:rFonts w:hint="eastAsia" w:cs="宋体"/>
          <w:b/>
          <w:color w:val="FF0000"/>
          <w:sz w:val="24"/>
          <w:szCs w:val="24"/>
          <w:u w:val="single"/>
        </w:rPr>
        <w:t xml:space="preserve">  </w:t>
      </w:r>
      <w:r>
        <w:rPr>
          <w:rFonts w:hint="eastAsia" w:cs="宋体"/>
          <w:b/>
          <w:color w:val="FF0000"/>
          <w:sz w:val="24"/>
          <w:szCs w:val="24"/>
        </w:rPr>
        <w:t>%</w:t>
      </w:r>
      <w:r>
        <w:rPr>
          <w:rFonts w:hint="eastAsia" w:ascii="宋体" w:hAnsi="宋体" w:cs="宋体"/>
          <w:color w:val="333333"/>
          <w:sz w:val="24"/>
          <w:szCs w:val="24"/>
        </w:rPr>
        <w:t>的违约金。需方无正当理由逾期收货的，每天按合同总价的</w:t>
      </w:r>
      <w:r>
        <w:rPr>
          <w:rFonts w:hint="eastAsia" w:cs="宋体"/>
          <w:b/>
          <w:color w:val="FF0000"/>
          <w:sz w:val="24"/>
          <w:szCs w:val="24"/>
          <w:u w:val="single"/>
        </w:rPr>
        <w:t xml:space="preserve">  </w:t>
      </w:r>
      <w:r>
        <w:rPr>
          <w:rFonts w:cs="宋体"/>
          <w:b/>
          <w:color w:val="FF0000"/>
          <w:sz w:val="24"/>
          <w:szCs w:val="24"/>
        </w:rPr>
        <w:t>‰</w:t>
      </w:r>
      <w:r>
        <w:rPr>
          <w:rFonts w:hint="eastAsia" w:ascii="宋体" w:hAnsi="宋体" w:cs="宋体"/>
          <w:color w:val="333333"/>
          <w:sz w:val="24"/>
          <w:szCs w:val="24"/>
        </w:rPr>
        <w:t>向供方支付违约金。需方无正当理由逾期付款的，每天按逾期付款金额的</w:t>
      </w:r>
      <w:r>
        <w:rPr>
          <w:rFonts w:hint="eastAsia" w:cs="宋体"/>
          <w:b/>
          <w:color w:val="FF0000"/>
          <w:sz w:val="24"/>
          <w:szCs w:val="24"/>
          <w:u w:val="single"/>
        </w:rPr>
        <w:t xml:space="preserve">  </w:t>
      </w:r>
      <w:r>
        <w:rPr>
          <w:rFonts w:cs="宋体"/>
          <w:b/>
          <w:color w:val="FF0000"/>
          <w:sz w:val="24"/>
          <w:szCs w:val="24"/>
        </w:rPr>
        <w:t>‰</w:t>
      </w:r>
      <w:r>
        <w:rPr>
          <w:rFonts w:hint="eastAsia" w:cs="宋体"/>
          <w:bCs/>
          <w:color w:val="000000"/>
          <w:sz w:val="24"/>
          <w:szCs w:val="24"/>
        </w:rPr>
        <w:t>向供方支付违约金。</w:t>
      </w:r>
    </w:p>
    <w:p>
      <w:pPr>
        <w:spacing w:line="400" w:lineRule="exact"/>
        <w:ind w:firstLine="480" w:firstLineChars="200"/>
        <w:rPr>
          <w:rFonts w:cs="宋体"/>
          <w:bCs/>
          <w:color w:val="000000"/>
          <w:sz w:val="24"/>
          <w:szCs w:val="24"/>
        </w:rPr>
      </w:pPr>
      <w:r>
        <w:rPr>
          <w:rFonts w:hint="eastAsia" w:ascii="宋体" w:hAnsi="宋体" w:cs="宋体"/>
          <w:color w:val="333333"/>
          <w:sz w:val="24"/>
          <w:szCs w:val="24"/>
        </w:rPr>
        <w:t>8.2供方有以下违约行为之一的，应当在需方指定期间内完成整改，指定的期间内每日按合同总价的</w:t>
      </w:r>
      <w:r>
        <w:rPr>
          <w:rFonts w:hint="eastAsia" w:cs="宋体"/>
          <w:b/>
          <w:color w:val="000000"/>
          <w:sz w:val="24"/>
          <w:szCs w:val="24"/>
          <w:u w:val="single"/>
        </w:rPr>
        <w:t xml:space="preserve"> </w:t>
      </w:r>
      <w:r>
        <w:rPr>
          <w:rFonts w:hint="eastAsia" w:cs="宋体"/>
          <w:b/>
          <w:color w:val="FF0000"/>
          <w:sz w:val="24"/>
          <w:szCs w:val="24"/>
          <w:u w:val="single"/>
        </w:rPr>
        <w:t xml:space="preserve"> </w:t>
      </w:r>
      <w:r>
        <w:rPr>
          <w:rFonts w:cs="宋体"/>
          <w:b/>
          <w:color w:val="FF0000"/>
          <w:sz w:val="24"/>
          <w:szCs w:val="24"/>
        </w:rPr>
        <w:t>‰</w:t>
      </w:r>
      <w:r>
        <w:rPr>
          <w:rFonts w:hint="eastAsia" w:cs="宋体"/>
          <w:bCs/>
          <w:color w:val="000000"/>
          <w:sz w:val="24"/>
          <w:szCs w:val="24"/>
        </w:rPr>
        <w:t>向需方支付违约金；供方在指定期限内未完成整改的，需方有权解除合同或部分退货，并要求供方另行支付合同总价</w:t>
      </w:r>
      <w:r>
        <w:rPr>
          <w:rFonts w:hint="eastAsia" w:cs="宋体"/>
          <w:b/>
          <w:color w:val="FF0000"/>
          <w:sz w:val="24"/>
          <w:szCs w:val="24"/>
          <w:u w:val="single"/>
        </w:rPr>
        <w:t xml:space="preserve">  </w:t>
      </w:r>
      <w:r>
        <w:rPr>
          <w:rFonts w:hint="eastAsia" w:cs="宋体"/>
          <w:b/>
          <w:color w:val="FF0000"/>
          <w:sz w:val="24"/>
          <w:szCs w:val="24"/>
        </w:rPr>
        <w:t>%</w:t>
      </w:r>
      <w:r>
        <w:rPr>
          <w:rFonts w:hint="eastAsia" w:cs="宋体"/>
          <w:bCs/>
          <w:color w:val="000000"/>
          <w:sz w:val="24"/>
          <w:szCs w:val="24"/>
        </w:rPr>
        <w:t>的违约金。</w:t>
      </w:r>
    </w:p>
    <w:p>
      <w:pPr>
        <w:spacing w:line="400" w:lineRule="exact"/>
        <w:ind w:firstLine="480" w:firstLineChars="200"/>
        <w:rPr>
          <w:rFonts w:cs="宋体"/>
          <w:bCs/>
          <w:color w:val="000000"/>
          <w:sz w:val="24"/>
          <w:szCs w:val="24"/>
        </w:rPr>
      </w:pPr>
      <w:r>
        <w:rPr>
          <w:rFonts w:hint="eastAsia" w:cs="宋体"/>
          <w:bCs/>
          <w:color w:val="000000"/>
          <w:sz w:val="24"/>
          <w:szCs w:val="24"/>
        </w:rPr>
        <w:t>（1）逾期交货（包括不完全交货）的；</w:t>
      </w:r>
    </w:p>
    <w:p>
      <w:pPr>
        <w:spacing w:line="400" w:lineRule="exact"/>
        <w:ind w:firstLine="480" w:firstLineChars="200"/>
        <w:rPr>
          <w:rFonts w:cs="宋体"/>
          <w:bCs/>
          <w:color w:val="000000"/>
          <w:sz w:val="24"/>
          <w:szCs w:val="24"/>
        </w:rPr>
      </w:pPr>
      <w:r>
        <w:rPr>
          <w:rFonts w:hint="eastAsia" w:cs="宋体"/>
          <w:bCs/>
          <w:color w:val="000000"/>
          <w:sz w:val="24"/>
          <w:szCs w:val="24"/>
        </w:rPr>
        <w:t>（2）未在合同约定时间内完成安装调试的；</w:t>
      </w:r>
    </w:p>
    <w:p>
      <w:pPr>
        <w:spacing w:line="400" w:lineRule="exact"/>
        <w:ind w:firstLine="480" w:firstLineChars="200"/>
        <w:rPr>
          <w:rFonts w:cs="宋体"/>
          <w:bCs/>
          <w:color w:val="000000"/>
          <w:sz w:val="24"/>
          <w:szCs w:val="24"/>
        </w:rPr>
      </w:pPr>
      <w:r>
        <w:rPr>
          <w:rFonts w:hint="eastAsia" w:cs="宋体"/>
          <w:bCs/>
          <w:color w:val="000000"/>
          <w:sz w:val="24"/>
          <w:szCs w:val="24"/>
        </w:rPr>
        <w:t>（3）质量性能验收不合格的；</w:t>
      </w:r>
    </w:p>
    <w:p>
      <w:pPr>
        <w:spacing w:line="400" w:lineRule="exact"/>
        <w:ind w:firstLine="480" w:firstLineChars="200"/>
        <w:rPr>
          <w:rFonts w:cs="宋体"/>
          <w:bCs/>
          <w:color w:val="000000"/>
          <w:sz w:val="24"/>
          <w:szCs w:val="24"/>
        </w:rPr>
      </w:pPr>
      <w:r>
        <w:rPr>
          <w:rFonts w:hint="eastAsia" w:cs="宋体"/>
          <w:bCs/>
          <w:color w:val="000000"/>
          <w:sz w:val="24"/>
          <w:szCs w:val="24"/>
        </w:rPr>
        <w:t>（4）违反合同其他约定的。</w:t>
      </w:r>
    </w:p>
    <w:p>
      <w:pPr>
        <w:spacing w:line="400" w:lineRule="exact"/>
        <w:ind w:firstLine="480" w:firstLineChars="200"/>
        <w:rPr>
          <w:rFonts w:ascii="宋体" w:hAnsi="宋体" w:cs="宋体"/>
          <w:sz w:val="24"/>
          <w:szCs w:val="24"/>
        </w:rPr>
      </w:pPr>
      <w:r>
        <w:rPr>
          <w:rFonts w:hint="eastAsia" w:ascii="宋体" w:hAnsi="宋体" w:cs="宋体"/>
          <w:sz w:val="24"/>
          <w:szCs w:val="24"/>
        </w:rPr>
        <w:t>8.3质保期内，如货物经供方</w:t>
      </w:r>
      <w:r>
        <w:rPr>
          <w:rFonts w:hint="eastAsia" w:cs="宋体"/>
          <w:b/>
          <w:color w:val="FF0000"/>
          <w:sz w:val="24"/>
          <w:szCs w:val="24"/>
          <w:u w:val="single"/>
        </w:rPr>
        <w:t xml:space="preserve"> </w:t>
      </w:r>
      <w:r>
        <w:rPr>
          <w:rFonts w:hint="eastAsia" w:cs="宋体"/>
          <w:b/>
          <w:color w:val="000000"/>
          <w:sz w:val="24"/>
          <w:szCs w:val="24"/>
          <w:u w:val="single"/>
        </w:rPr>
        <w:t xml:space="preserve"> </w:t>
      </w:r>
      <w:r>
        <w:rPr>
          <w:rFonts w:hint="eastAsia" w:ascii="宋体" w:hAnsi="宋体" w:cs="宋体"/>
          <w:sz w:val="24"/>
          <w:szCs w:val="24"/>
        </w:rPr>
        <w:t>次维修或更换后仍不能达到本合同约定的质量标准，或者临时调换后供方不能在商定的时限内完成修复并达到本合同约定的质量标准，或者供方拒绝进行维修或更换的，</w:t>
      </w:r>
      <w:r>
        <w:rPr>
          <w:rFonts w:hint="eastAsia" w:ascii="宋体" w:hAnsi="宋体" w:cs="宋体"/>
          <w:color w:val="333333"/>
          <w:sz w:val="24"/>
          <w:szCs w:val="24"/>
        </w:rPr>
        <w:t>需方有权按以下任一方式要求供方承担违约责任：</w:t>
      </w:r>
    </w:p>
    <w:p>
      <w:pPr>
        <w:spacing w:line="400" w:lineRule="exact"/>
        <w:ind w:firstLine="480" w:firstLineChars="200"/>
        <w:rPr>
          <w:rFonts w:ascii="宋体" w:hAnsi="宋体" w:cs="宋体"/>
          <w:color w:val="333333"/>
          <w:sz w:val="24"/>
          <w:szCs w:val="24"/>
        </w:rPr>
      </w:pPr>
      <w:r>
        <w:rPr>
          <w:rFonts w:hint="eastAsia" w:ascii="宋体" w:hAnsi="宋体"/>
          <w:sz w:val="24"/>
          <w:szCs w:val="24"/>
        </w:rPr>
        <w:t>（1）</w:t>
      </w:r>
      <w:r>
        <w:rPr>
          <w:rFonts w:hint="eastAsia" w:ascii="宋体" w:hAnsi="宋体" w:cs="宋体"/>
          <w:color w:val="333333"/>
          <w:sz w:val="24"/>
          <w:szCs w:val="24"/>
        </w:rPr>
        <w:t>解除合同或部分退货，供方向需方支付合同总价款</w:t>
      </w:r>
      <w:r>
        <w:rPr>
          <w:rFonts w:hint="eastAsia" w:cs="宋体"/>
          <w:b/>
          <w:color w:val="FF0000"/>
          <w:sz w:val="24"/>
          <w:szCs w:val="24"/>
          <w:u w:val="single"/>
        </w:rPr>
        <w:t xml:space="preserve">  </w:t>
      </w:r>
      <w:r>
        <w:rPr>
          <w:rFonts w:hint="eastAsia" w:cs="宋体"/>
          <w:b/>
          <w:color w:val="FF0000"/>
          <w:sz w:val="24"/>
          <w:szCs w:val="24"/>
        </w:rPr>
        <w:t>%</w:t>
      </w:r>
      <w:r>
        <w:rPr>
          <w:rFonts w:hint="eastAsia" w:ascii="宋体" w:hAnsi="宋体" w:cs="宋体"/>
          <w:color w:val="333333"/>
          <w:sz w:val="24"/>
          <w:szCs w:val="24"/>
        </w:rPr>
        <w:t>的违约金；</w:t>
      </w:r>
    </w:p>
    <w:p>
      <w:pPr>
        <w:spacing w:line="400" w:lineRule="exact"/>
        <w:ind w:firstLine="480" w:firstLineChars="200"/>
        <w:rPr>
          <w:rFonts w:ascii="宋体" w:hAnsi="宋体"/>
          <w:sz w:val="24"/>
          <w:szCs w:val="24"/>
        </w:rPr>
      </w:pPr>
      <w:r>
        <w:rPr>
          <w:rFonts w:hint="eastAsia" w:ascii="宋体" w:hAnsi="宋体" w:cs="宋体"/>
          <w:sz w:val="24"/>
          <w:szCs w:val="24"/>
        </w:rPr>
        <w:t>（2）需方使用履约保证金自行或请第三方进行维修、更换，供方应对维修、更换的方案和所产生的费用无条件予以完全认可；履约保证金不足以支付的，超出部分由供方承担。</w:t>
      </w:r>
    </w:p>
    <w:p>
      <w:pPr>
        <w:spacing w:line="400" w:lineRule="exact"/>
        <w:ind w:firstLine="480" w:firstLineChars="200"/>
        <w:rPr>
          <w:rFonts w:ascii="宋体" w:hAnsi="宋体"/>
          <w:sz w:val="24"/>
          <w:szCs w:val="24"/>
        </w:rPr>
      </w:pPr>
      <w:r>
        <w:rPr>
          <w:rFonts w:hint="eastAsia" w:ascii="宋体" w:hAnsi="宋体"/>
          <w:sz w:val="24"/>
          <w:szCs w:val="24"/>
        </w:rPr>
        <w:t>8.4需方根据法律规定或本合同约定解除合同或部分退货的，需方按合同解除时或退货时货物现状退回货物，供方支付违约金并无条件退还需方已支付的全部款项或退货部分相应款项；供方自行负责拆卸、联系运输、装卸货等所有退货事宜及退货产生的全部费用。</w:t>
      </w:r>
    </w:p>
    <w:p>
      <w:pPr>
        <w:spacing w:line="400" w:lineRule="exact"/>
        <w:ind w:firstLine="480" w:firstLineChars="200"/>
        <w:rPr>
          <w:rFonts w:ascii="宋体" w:hAnsi="宋体" w:cs="宋体"/>
          <w:sz w:val="24"/>
          <w:szCs w:val="24"/>
        </w:rPr>
      </w:pPr>
      <w:r>
        <w:rPr>
          <w:rFonts w:hint="eastAsia" w:ascii="宋体" w:hAnsi="宋体"/>
          <w:sz w:val="24"/>
          <w:szCs w:val="24"/>
        </w:rPr>
        <w:t>8.5未经需方书面同意，供方不得在市场宣传中使用与需方的合作案列，不得将需方作为业务伙伴进行宣传，不得使用需方的校名、校徽、商标、标志语等；若违反上述约定，应按合同总价的</w:t>
      </w:r>
      <w:r>
        <w:rPr>
          <w:rFonts w:hint="eastAsia" w:cs="宋体"/>
          <w:b/>
          <w:color w:val="FF0000"/>
          <w:sz w:val="24"/>
          <w:szCs w:val="24"/>
          <w:u w:val="single"/>
        </w:rPr>
        <w:t xml:space="preserve">  </w:t>
      </w:r>
      <w:r>
        <w:rPr>
          <w:rFonts w:hint="eastAsia" w:cs="宋体"/>
          <w:b/>
          <w:color w:val="FF0000"/>
          <w:sz w:val="24"/>
          <w:szCs w:val="24"/>
        </w:rPr>
        <w:t>%</w:t>
      </w:r>
      <w:r>
        <w:rPr>
          <w:rFonts w:hint="eastAsia" w:ascii="宋体" w:hAnsi="宋体"/>
          <w:sz w:val="24"/>
          <w:szCs w:val="24"/>
        </w:rPr>
        <w:t>向需方支付违约金</w:t>
      </w:r>
      <w:r>
        <w:rPr>
          <w:rFonts w:hint="eastAsia" w:ascii="宋体" w:hAnsi="宋体" w:cs="宋体"/>
          <w:sz w:val="24"/>
          <w:szCs w:val="24"/>
        </w:rPr>
        <w:t>。</w:t>
      </w:r>
    </w:p>
    <w:p>
      <w:pPr>
        <w:spacing w:line="400" w:lineRule="exact"/>
        <w:ind w:firstLine="480" w:firstLineChars="200"/>
        <w:rPr>
          <w:rFonts w:ascii="宋体" w:hAnsi="宋体"/>
          <w:sz w:val="24"/>
          <w:szCs w:val="24"/>
        </w:rPr>
      </w:pPr>
      <w:r>
        <w:rPr>
          <w:rFonts w:hint="eastAsia" w:ascii="宋体" w:hAnsi="宋体" w:cs="宋体"/>
          <w:sz w:val="24"/>
          <w:szCs w:val="24"/>
        </w:rPr>
        <w:t>8.6 因货物质量问题造成需方或其他任何人员伤、亡或财产损失的，由供方承担全部赔偿责任；需方先行垫付的，有权向供方追偿。</w:t>
      </w:r>
    </w:p>
    <w:p>
      <w:pPr>
        <w:spacing w:line="400" w:lineRule="exact"/>
        <w:ind w:firstLine="480" w:firstLineChars="200"/>
        <w:rPr>
          <w:rFonts w:ascii="宋体" w:hAnsi="宋体" w:cs="宋体"/>
          <w:sz w:val="24"/>
          <w:szCs w:val="24"/>
        </w:rPr>
      </w:pPr>
      <w:r>
        <w:rPr>
          <w:rFonts w:hint="eastAsia" w:ascii="宋体" w:hAnsi="宋体" w:cs="宋体"/>
          <w:sz w:val="24"/>
          <w:szCs w:val="24"/>
        </w:rPr>
        <w:t>8.7供方保证本合同货物的权利无瑕疵，包括货物所有权及知识产权等权利无瑕疵。如任何第三方对本合同货物全部或部分主张权利，或国家机关依法对本合同货物全部或部分没收、查封或采取其他措施导致需方不能正常使用货物的，供方除应向需方返还已收款项外，还应另按合同总价的</w:t>
      </w:r>
      <w:r>
        <w:rPr>
          <w:rFonts w:hint="eastAsia" w:cs="宋体"/>
          <w:b/>
          <w:sz w:val="24"/>
          <w:szCs w:val="24"/>
          <w:u w:val="single"/>
        </w:rPr>
        <w:t xml:space="preserve"> </w:t>
      </w:r>
      <w:r>
        <w:rPr>
          <w:rFonts w:hint="eastAsia" w:cs="宋体"/>
          <w:b/>
          <w:color w:val="FF0000"/>
          <w:sz w:val="24"/>
          <w:szCs w:val="24"/>
          <w:u w:val="single"/>
        </w:rPr>
        <w:t xml:space="preserve"> </w:t>
      </w:r>
      <w:r>
        <w:rPr>
          <w:rFonts w:hint="eastAsia" w:cs="宋体"/>
          <w:b/>
          <w:color w:val="FF0000"/>
          <w:sz w:val="24"/>
          <w:szCs w:val="24"/>
        </w:rPr>
        <w:t>%</w:t>
      </w:r>
      <w:r>
        <w:rPr>
          <w:rFonts w:hint="eastAsia" w:ascii="宋体" w:hAnsi="宋体" w:cs="宋体"/>
          <w:sz w:val="24"/>
          <w:szCs w:val="24"/>
        </w:rPr>
        <w:t>向需方支付违约金。</w:t>
      </w:r>
    </w:p>
    <w:p>
      <w:pPr>
        <w:spacing w:line="400" w:lineRule="exact"/>
        <w:ind w:firstLine="480" w:firstLineChars="200"/>
        <w:rPr>
          <w:rFonts w:ascii="宋体" w:hAnsi="宋体" w:cs="宋体"/>
          <w:sz w:val="24"/>
          <w:szCs w:val="24"/>
        </w:rPr>
      </w:pPr>
      <w:r>
        <w:rPr>
          <w:rFonts w:hint="eastAsia" w:ascii="宋体" w:hAnsi="宋体" w:cs="宋体"/>
          <w:sz w:val="24"/>
          <w:szCs w:val="24"/>
        </w:rPr>
        <w:t>8.8供方未按合同约定支付违约金、赔偿金或相关费用的，需方有权从履约保证金中扣除相应金额，但这并不意味着对供方违约责任、赔偿责任全部或部分的豁免或解除。</w:t>
      </w:r>
    </w:p>
    <w:p>
      <w:pPr>
        <w:spacing w:line="400" w:lineRule="exact"/>
        <w:ind w:firstLine="480" w:firstLineChars="200"/>
        <w:rPr>
          <w:rFonts w:ascii="宋体" w:hAnsi="宋体" w:cs="宋体"/>
          <w:sz w:val="24"/>
          <w:szCs w:val="24"/>
        </w:rPr>
      </w:pPr>
      <w:r>
        <w:rPr>
          <w:rFonts w:hint="eastAsia" w:ascii="宋体" w:hAnsi="宋体" w:cs="宋体"/>
          <w:sz w:val="24"/>
          <w:szCs w:val="24"/>
        </w:rPr>
        <w:t>需方根据合同约定使用或扣除履约保证金后，供方应在需方指定的限期内补足履约保证金；限期内未能补足的，需方每天按</w:t>
      </w:r>
      <w:r>
        <w:rPr>
          <w:rFonts w:hint="eastAsia" w:ascii="宋体" w:hAnsi="宋体" w:cs="宋体"/>
          <w:b/>
          <w:bCs/>
          <w:sz w:val="24"/>
          <w:szCs w:val="24"/>
        </w:rPr>
        <w:t>履约保证金总额</w:t>
      </w:r>
      <w:r>
        <w:rPr>
          <w:rFonts w:hint="eastAsia" w:ascii="宋体" w:hAnsi="宋体" w:cs="宋体"/>
          <w:sz w:val="24"/>
          <w:szCs w:val="24"/>
        </w:rPr>
        <w:t>的</w:t>
      </w:r>
      <w:r>
        <w:rPr>
          <w:rFonts w:hint="eastAsia" w:cs="宋体"/>
          <w:b/>
          <w:color w:val="FF0000"/>
          <w:sz w:val="24"/>
          <w:szCs w:val="24"/>
          <w:u w:val="single"/>
        </w:rPr>
        <w:t xml:space="preserve">  </w:t>
      </w:r>
      <w:r>
        <w:rPr>
          <w:rFonts w:hint="eastAsia" w:cs="宋体"/>
          <w:b/>
          <w:color w:val="FF0000"/>
          <w:sz w:val="24"/>
          <w:szCs w:val="24"/>
        </w:rPr>
        <w:t>%</w:t>
      </w:r>
      <w:r>
        <w:rPr>
          <w:rFonts w:hint="eastAsia" w:ascii="宋体" w:hAnsi="宋体" w:cs="宋体"/>
          <w:sz w:val="24"/>
          <w:szCs w:val="24"/>
        </w:rPr>
        <w:t>继续扣除或计算逾期违约金。</w:t>
      </w:r>
    </w:p>
    <w:p>
      <w:pPr>
        <w:spacing w:line="400" w:lineRule="exact"/>
        <w:ind w:firstLine="480" w:firstLineChars="200"/>
        <w:rPr>
          <w:rFonts w:ascii="宋体" w:hAnsi="宋体" w:cs="宋体"/>
          <w:sz w:val="24"/>
          <w:szCs w:val="24"/>
        </w:rPr>
      </w:pPr>
      <w:r>
        <w:rPr>
          <w:rFonts w:hint="eastAsia" w:ascii="宋体" w:hAnsi="宋体" w:cs="宋体"/>
          <w:sz w:val="24"/>
          <w:szCs w:val="24"/>
        </w:rPr>
        <w:t>8.9双方同意，本合同所约定的违约金不能不能填补并赔偿因违约行为给守约方造成损失的，违约方还应对损失进行赔偿；前述损失包括守约方为维权所支出的必要费用（包括但不限于律师费、差旅费等）。</w:t>
      </w:r>
    </w:p>
    <w:p>
      <w:pPr>
        <w:spacing w:before="240"/>
        <w:ind w:firstLine="565" w:firstLineChars="201"/>
        <w:jc w:val="left"/>
        <w:outlineLvl w:val="0"/>
        <w:rPr>
          <w:rFonts w:ascii="Calibri Light" w:hAnsi="Calibri Light"/>
          <w:b/>
          <w:bCs/>
        </w:rPr>
      </w:pPr>
      <w:r>
        <w:rPr>
          <w:rFonts w:hint="eastAsia" w:ascii="Calibri Light" w:hAnsi="Calibri Light"/>
          <w:b/>
          <w:bCs/>
        </w:rPr>
        <w:t>九、争议解决办法</w:t>
      </w:r>
    </w:p>
    <w:p>
      <w:pPr>
        <w:spacing w:line="440" w:lineRule="exact"/>
        <w:ind w:firstLine="480" w:firstLineChars="200"/>
        <w:rPr>
          <w:rFonts w:ascii="宋体" w:hAnsi="宋体" w:cs="宋体"/>
          <w:sz w:val="24"/>
          <w:szCs w:val="24"/>
        </w:rPr>
      </w:pPr>
      <w:r>
        <w:rPr>
          <w:rFonts w:hint="eastAsia" w:ascii="宋体" w:hAnsi="宋体" w:cs="宋体"/>
          <w:sz w:val="24"/>
          <w:szCs w:val="24"/>
        </w:rPr>
        <w:t>合同履行期间,若双方发生争议，应友好协商解决，协商不成的，可依法向需方所在地人民法院提起诉讼。</w:t>
      </w:r>
    </w:p>
    <w:p>
      <w:pPr>
        <w:spacing w:before="240" w:line="440" w:lineRule="exact"/>
        <w:ind w:firstLine="562" w:firstLineChars="200"/>
        <w:rPr>
          <w:rFonts w:ascii="Calibri Light" w:hAnsi="Calibri Light"/>
          <w:b/>
          <w:bCs/>
        </w:rPr>
      </w:pPr>
      <w:r>
        <w:rPr>
          <w:rFonts w:hint="eastAsia" w:ascii="Calibri Light" w:hAnsi="Calibri Light"/>
          <w:b/>
          <w:bCs/>
        </w:rPr>
        <w:t>十、其他</w:t>
      </w:r>
    </w:p>
    <w:p>
      <w:pPr>
        <w:spacing w:line="440" w:lineRule="exact"/>
        <w:ind w:firstLine="480" w:firstLineChars="200"/>
        <w:rPr>
          <w:sz w:val="24"/>
          <w:szCs w:val="24"/>
        </w:rPr>
      </w:pPr>
      <w:r>
        <w:rPr>
          <w:rFonts w:hint="eastAsia" w:ascii="宋体" w:hAnsi="宋体" w:cs="宋体"/>
          <w:sz w:val="24"/>
          <w:szCs w:val="24"/>
        </w:rPr>
        <w:t>10.1本合同中“项目其他文件”系指本合同首部载明的采购项目的</w:t>
      </w:r>
      <w:r>
        <w:rPr>
          <w:rFonts w:hint="eastAsia"/>
          <w:sz w:val="24"/>
          <w:szCs w:val="24"/>
        </w:rPr>
        <w:t>招标（采购）文件、澄清表（函）、投标（响应）文件（含特殊承诺）、中标（成交）通知书等。前述文件均为本合同不可分割的部分。前述文件之间若发生抵触，应以以下优先顺序为准：</w:t>
      </w:r>
      <w:r>
        <w:rPr>
          <w:rFonts w:hint="eastAsia"/>
          <w:sz w:val="24"/>
          <w:szCs w:val="24"/>
          <w:u w:val="single"/>
        </w:rPr>
        <w:t>本合同、本合签订后双方拟定的书面补充合同、投标时的特殊承诺函、澄清文件、投标（响应）文件、招标（采购）文件</w:t>
      </w:r>
      <w:r>
        <w:rPr>
          <w:rFonts w:hint="eastAsia"/>
          <w:sz w:val="24"/>
          <w:szCs w:val="24"/>
        </w:rPr>
        <w:t>。</w:t>
      </w:r>
    </w:p>
    <w:p>
      <w:pPr>
        <w:spacing w:line="288" w:lineRule="auto"/>
        <w:ind w:firstLine="559" w:firstLineChars="233"/>
        <w:rPr>
          <w:rFonts w:ascii="宋体" w:hAnsi="宋体" w:cs="宋体"/>
          <w:bCs/>
          <w:sz w:val="24"/>
          <w:szCs w:val="24"/>
        </w:rPr>
      </w:pPr>
      <w:r>
        <w:rPr>
          <w:rFonts w:hint="eastAsia"/>
          <w:sz w:val="24"/>
          <w:szCs w:val="24"/>
        </w:rPr>
        <w:t>10</w:t>
      </w:r>
      <w:r>
        <w:rPr>
          <w:rFonts w:hint="eastAsia" w:ascii="宋体" w:hAnsi="宋体" w:cs="宋体"/>
          <w:sz w:val="24"/>
          <w:szCs w:val="24"/>
        </w:rPr>
        <w:t>.</w:t>
      </w:r>
      <w:r>
        <w:rPr>
          <w:rFonts w:hint="eastAsia"/>
          <w:sz w:val="24"/>
          <w:szCs w:val="24"/>
        </w:rPr>
        <w:t xml:space="preserve">2 </w:t>
      </w:r>
      <w:r>
        <w:rPr>
          <w:rFonts w:hint="eastAsia" w:ascii="宋体" w:hAnsi="宋体" w:cs="宋体"/>
          <w:bCs/>
          <w:sz w:val="24"/>
          <w:szCs w:val="24"/>
        </w:rPr>
        <w:t>双</w:t>
      </w:r>
      <w:r>
        <w:rPr>
          <w:rFonts w:ascii="宋体" w:hAnsi="宋体" w:cs="宋体"/>
          <w:bCs/>
          <w:sz w:val="24"/>
          <w:szCs w:val="24"/>
        </w:rPr>
        <w:t>方确</w:t>
      </w:r>
      <w:r>
        <w:rPr>
          <w:rFonts w:hint="eastAsia" w:ascii="宋体" w:hAnsi="宋体" w:cs="宋体"/>
          <w:bCs/>
          <w:sz w:val="24"/>
          <w:szCs w:val="24"/>
        </w:rPr>
        <w:t>认</w:t>
      </w:r>
      <w:r>
        <w:rPr>
          <w:rFonts w:ascii="宋体" w:hAnsi="宋体" w:cs="宋体"/>
          <w:bCs/>
          <w:sz w:val="24"/>
          <w:szCs w:val="24"/>
        </w:rPr>
        <w:t>下列地址为文书送达地址</w:t>
      </w:r>
      <w:r>
        <w:rPr>
          <w:rFonts w:hint="eastAsia" w:ascii="宋体" w:hAnsi="宋体" w:cs="宋体"/>
          <w:bCs/>
          <w:sz w:val="24"/>
          <w:szCs w:val="24"/>
        </w:rPr>
        <w:t>，并按照下列地址送达函件、诉讼文书、供货订单等各类文书。若一方根据下列地址（或对方通知的变更后的地址）向对方送达时发生收件人拒收或者其他无法送达的情形，则发出函件、诉讼文书、供货订单等文书之日起的第</w:t>
      </w:r>
      <w:r>
        <w:rPr>
          <w:rFonts w:hint="eastAsia" w:ascii="宋体" w:hAnsi="宋体" w:cs="宋体"/>
          <w:bCs/>
          <w:color w:val="FF0000"/>
          <w:sz w:val="24"/>
          <w:szCs w:val="24"/>
          <w:u w:val="single"/>
        </w:rPr>
        <w:t>10</w:t>
      </w:r>
      <w:r>
        <w:rPr>
          <w:rFonts w:hint="eastAsia" w:ascii="宋体" w:hAnsi="宋体" w:cs="宋体"/>
          <w:bCs/>
          <w:sz w:val="24"/>
          <w:szCs w:val="24"/>
        </w:rPr>
        <w:t>日视为送达对方之日。</w:t>
      </w:r>
    </w:p>
    <w:tbl>
      <w:tblPr>
        <w:tblStyle w:val="30"/>
        <w:tblW w:w="0" w:type="auto"/>
        <w:tblInd w:w="0" w:type="dxa"/>
        <w:tblLayout w:type="fixed"/>
        <w:tblCellMar>
          <w:top w:w="0" w:type="dxa"/>
          <w:left w:w="108" w:type="dxa"/>
          <w:bottom w:w="0" w:type="dxa"/>
          <w:right w:w="108" w:type="dxa"/>
        </w:tblCellMar>
      </w:tblPr>
      <w:tblGrid>
        <w:gridCol w:w="2064"/>
        <w:gridCol w:w="4080"/>
        <w:gridCol w:w="1327"/>
        <w:gridCol w:w="2491"/>
      </w:tblGrid>
      <w:tr>
        <w:tblPrEx>
          <w:tblCellMar>
            <w:top w:w="0" w:type="dxa"/>
            <w:left w:w="108" w:type="dxa"/>
            <w:bottom w:w="0" w:type="dxa"/>
            <w:right w:w="108" w:type="dxa"/>
          </w:tblCellMar>
        </w:tblPrEx>
        <w:tc>
          <w:tcPr>
            <w:tcW w:w="2064" w:type="dxa"/>
          </w:tcPr>
          <w:p>
            <w:pPr>
              <w:jc w:val="right"/>
              <w:rPr>
                <w:sz w:val="24"/>
                <w:szCs w:val="24"/>
              </w:rPr>
            </w:pPr>
            <w:r>
              <w:rPr>
                <w:rFonts w:hint="eastAsia"/>
                <w:b/>
                <w:sz w:val="24"/>
                <w:szCs w:val="24"/>
              </w:rPr>
              <w:t>供方</w:t>
            </w:r>
            <w:r>
              <w:rPr>
                <w:rFonts w:hint="eastAsia"/>
                <w:sz w:val="24"/>
                <w:szCs w:val="24"/>
              </w:rPr>
              <w:t>通讯地址：</w:t>
            </w:r>
          </w:p>
        </w:tc>
        <w:tc>
          <w:tcPr>
            <w:tcW w:w="4080" w:type="dxa"/>
            <w:tcBorders>
              <w:bottom w:val="single" w:color="auto" w:sz="4" w:space="0"/>
            </w:tcBorders>
          </w:tcPr>
          <w:p>
            <w:pPr>
              <w:spacing w:line="440" w:lineRule="exact"/>
              <w:rPr>
                <w:sz w:val="24"/>
                <w:szCs w:val="24"/>
              </w:rPr>
            </w:pPr>
          </w:p>
        </w:tc>
        <w:tc>
          <w:tcPr>
            <w:tcW w:w="1327" w:type="dxa"/>
          </w:tcPr>
          <w:p>
            <w:pPr>
              <w:spacing w:line="440" w:lineRule="exact"/>
              <w:rPr>
                <w:sz w:val="24"/>
                <w:szCs w:val="24"/>
              </w:rPr>
            </w:pPr>
            <w:r>
              <w:rPr>
                <w:rFonts w:hint="eastAsia"/>
                <w:sz w:val="24"/>
                <w:szCs w:val="24"/>
              </w:rPr>
              <w:t>联系邮箱：</w:t>
            </w:r>
          </w:p>
        </w:tc>
        <w:tc>
          <w:tcPr>
            <w:tcW w:w="2491" w:type="dxa"/>
            <w:tcBorders>
              <w:bottom w:val="single" w:color="auto" w:sz="4" w:space="0"/>
            </w:tcBorders>
          </w:tcPr>
          <w:p>
            <w:pPr>
              <w:spacing w:line="440" w:lineRule="exact"/>
              <w:rPr>
                <w:sz w:val="24"/>
                <w:szCs w:val="24"/>
              </w:rPr>
            </w:pPr>
          </w:p>
        </w:tc>
      </w:tr>
      <w:tr>
        <w:tblPrEx>
          <w:tblCellMar>
            <w:top w:w="0" w:type="dxa"/>
            <w:left w:w="108" w:type="dxa"/>
            <w:bottom w:w="0" w:type="dxa"/>
            <w:right w:w="108" w:type="dxa"/>
          </w:tblCellMar>
        </w:tblPrEx>
        <w:tc>
          <w:tcPr>
            <w:tcW w:w="2064" w:type="dxa"/>
          </w:tcPr>
          <w:p>
            <w:pPr>
              <w:jc w:val="right"/>
              <w:rPr>
                <w:sz w:val="24"/>
                <w:szCs w:val="24"/>
              </w:rPr>
            </w:pPr>
            <w:r>
              <w:rPr>
                <w:rFonts w:hint="eastAsia"/>
                <w:sz w:val="24"/>
                <w:szCs w:val="24"/>
              </w:rPr>
              <w:t>联系人：</w:t>
            </w:r>
          </w:p>
        </w:tc>
        <w:tc>
          <w:tcPr>
            <w:tcW w:w="4080" w:type="dxa"/>
            <w:tcBorders>
              <w:top w:val="single" w:color="auto" w:sz="4" w:space="0"/>
              <w:bottom w:val="single" w:color="auto" w:sz="4" w:space="0"/>
            </w:tcBorders>
          </w:tcPr>
          <w:p>
            <w:pPr>
              <w:spacing w:line="440" w:lineRule="exact"/>
              <w:rPr>
                <w:sz w:val="24"/>
                <w:szCs w:val="24"/>
              </w:rPr>
            </w:pPr>
          </w:p>
        </w:tc>
        <w:tc>
          <w:tcPr>
            <w:tcW w:w="1327" w:type="dxa"/>
          </w:tcPr>
          <w:p>
            <w:pPr>
              <w:spacing w:line="440" w:lineRule="exact"/>
              <w:rPr>
                <w:sz w:val="24"/>
                <w:szCs w:val="24"/>
              </w:rPr>
            </w:pPr>
            <w:r>
              <w:rPr>
                <w:rFonts w:hint="eastAsia"/>
                <w:sz w:val="24"/>
                <w:szCs w:val="24"/>
              </w:rPr>
              <w:t>联系电话：</w:t>
            </w:r>
          </w:p>
        </w:tc>
        <w:tc>
          <w:tcPr>
            <w:tcW w:w="2491" w:type="dxa"/>
            <w:tcBorders>
              <w:top w:val="single" w:color="auto" w:sz="4" w:space="0"/>
              <w:bottom w:val="single" w:color="auto" w:sz="4" w:space="0"/>
            </w:tcBorders>
          </w:tcPr>
          <w:p>
            <w:pPr>
              <w:spacing w:line="440" w:lineRule="exact"/>
              <w:rPr>
                <w:sz w:val="24"/>
                <w:szCs w:val="24"/>
              </w:rPr>
            </w:pPr>
          </w:p>
        </w:tc>
      </w:tr>
      <w:tr>
        <w:tblPrEx>
          <w:tblCellMar>
            <w:top w:w="0" w:type="dxa"/>
            <w:left w:w="108" w:type="dxa"/>
            <w:bottom w:w="0" w:type="dxa"/>
            <w:right w:w="108" w:type="dxa"/>
          </w:tblCellMar>
        </w:tblPrEx>
        <w:tc>
          <w:tcPr>
            <w:tcW w:w="2064" w:type="dxa"/>
          </w:tcPr>
          <w:p>
            <w:pPr>
              <w:jc w:val="right"/>
              <w:rPr>
                <w:sz w:val="24"/>
                <w:szCs w:val="24"/>
              </w:rPr>
            </w:pPr>
            <w:r>
              <w:rPr>
                <w:rFonts w:hint="eastAsia"/>
                <w:b/>
                <w:sz w:val="24"/>
                <w:szCs w:val="24"/>
              </w:rPr>
              <w:t>需方</w:t>
            </w:r>
            <w:r>
              <w:rPr>
                <w:rFonts w:hint="eastAsia"/>
                <w:sz w:val="24"/>
                <w:szCs w:val="24"/>
              </w:rPr>
              <w:t>通讯地址：</w:t>
            </w:r>
          </w:p>
        </w:tc>
        <w:tc>
          <w:tcPr>
            <w:tcW w:w="4080" w:type="dxa"/>
            <w:tcBorders>
              <w:top w:val="single" w:color="auto" w:sz="4" w:space="0"/>
              <w:bottom w:val="single" w:color="auto" w:sz="4" w:space="0"/>
            </w:tcBorders>
          </w:tcPr>
          <w:p>
            <w:pPr>
              <w:spacing w:line="440" w:lineRule="exact"/>
              <w:rPr>
                <w:sz w:val="24"/>
                <w:szCs w:val="24"/>
              </w:rPr>
            </w:pPr>
          </w:p>
        </w:tc>
        <w:tc>
          <w:tcPr>
            <w:tcW w:w="1327" w:type="dxa"/>
          </w:tcPr>
          <w:p>
            <w:pPr>
              <w:spacing w:line="440" w:lineRule="exact"/>
              <w:rPr>
                <w:sz w:val="24"/>
                <w:szCs w:val="24"/>
              </w:rPr>
            </w:pPr>
            <w:r>
              <w:rPr>
                <w:rFonts w:hint="eastAsia"/>
                <w:sz w:val="24"/>
                <w:szCs w:val="24"/>
              </w:rPr>
              <w:t>联系邮箱：</w:t>
            </w:r>
          </w:p>
        </w:tc>
        <w:tc>
          <w:tcPr>
            <w:tcW w:w="2491" w:type="dxa"/>
            <w:tcBorders>
              <w:top w:val="single" w:color="auto" w:sz="4" w:space="0"/>
              <w:bottom w:val="single" w:color="auto" w:sz="4" w:space="0"/>
            </w:tcBorders>
          </w:tcPr>
          <w:p>
            <w:pPr>
              <w:spacing w:line="440" w:lineRule="exact"/>
              <w:rPr>
                <w:sz w:val="24"/>
                <w:szCs w:val="24"/>
              </w:rPr>
            </w:pPr>
          </w:p>
        </w:tc>
      </w:tr>
      <w:tr>
        <w:tblPrEx>
          <w:tblCellMar>
            <w:top w:w="0" w:type="dxa"/>
            <w:left w:w="108" w:type="dxa"/>
            <w:bottom w:w="0" w:type="dxa"/>
            <w:right w:w="108" w:type="dxa"/>
          </w:tblCellMar>
        </w:tblPrEx>
        <w:tc>
          <w:tcPr>
            <w:tcW w:w="2064" w:type="dxa"/>
          </w:tcPr>
          <w:p>
            <w:pPr>
              <w:jc w:val="right"/>
              <w:rPr>
                <w:sz w:val="24"/>
                <w:szCs w:val="24"/>
              </w:rPr>
            </w:pPr>
            <w:r>
              <w:rPr>
                <w:rFonts w:hint="eastAsia"/>
                <w:sz w:val="24"/>
                <w:szCs w:val="24"/>
              </w:rPr>
              <w:t>联系人：</w:t>
            </w:r>
          </w:p>
        </w:tc>
        <w:tc>
          <w:tcPr>
            <w:tcW w:w="4080" w:type="dxa"/>
            <w:tcBorders>
              <w:top w:val="single" w:color="auto" w:sz="4" w:space="0"/>
              <w:bottom w:val="single" w:color="auto" w:sz="4" w:space="0"/>
            </w:tcBorders>
          </w:tcPr>
          <w:p>
            <w:pPr>
              <w:spacing w:line="440" w:lineRule="exact"/>
              <w:rPr>
                <w:sz w:val="24"/>
                <w:szCs w:val="24"/>
              </w:rPr>
            </w:pPr>
          </w:p>
        </w:tc>
        <w:tc>
          <w:tcPr>
            <w:tcW w:w="1327" w:type="dxa"/>
          </w:tcPr>
          <w:p>
            <w:pPr>
              <w:spacing w:line="440" w:lineRule="exact"/>
              <w:rPr>
                <w:sz w:val="24"/>
                <w:szCs w:val="24"/>
              </w:rPr>
            </w:pPr>
            <w:r>
              <w:rPr>
                <w:rFonts w:hint="eastAsia"/>
                <w:sz w:val="24"/>
                <w:szCs w:val="24"/>
              </w:rPr>
              <w:t>联系电话：</w:t>
            </w:r>
          </w:p>
        </w:tc>
        <w:tc>
          <w:tcPr>
            <w:tcW w:w="2491" w:type="dxa"/>
            <w:tcBorders>
              <w:top w:val="single" w:color="auto" w:sz="4" w:space="0"/>
              <w:bottom w:val="single" w:color="auto" w:sz="4" w:space="0"/>
            </w:tcBorders>
          </w:tcPr>
          <w:p>
            <w:pPr>
              <w:spacing w:line="440" w:lineRule="exact"/>
              <w:rPr>
                <w:sz w:val="24"/>
                <w:szCs w:val="24"/>
              </w:rPr>
            </w:pPr>
          </w:p>
        </w:tc>
      </w:tr>
    </w:tbl>
    <w:p>
      <w:pPr>
        <w:spacing w:line="440" w:lineRule="exact"/>
        <w:ind w:firstLine="480" w:firstLineChars="200"/>
        <w:rPr>
          <w:sz w:val="24"/>
          <w:szCs w:val="24"/>
        </w:rPr>
      </w:pPr>
      <w:r>
        <w:rPr>
          <w:rFonts w:hint="eastAsia"/>
          <w:sz w:val="24"/>
          <w:szCs w:val="24"/>
        </w:rPr>
        <w:t>一方变更本合同中约定的收货人、售后服务联系人、送达地址、联系方式或联系人而未书面通知对方的，视为原约定仍有效。</w:t>
      </w:r>
    </w:p>
    <w:p>
      <w:pPr>
        <w:spacing w:line="440" w:lineRule="exact"/>
        <w:ind w:firstLine="480" w:firstLineChars="200"/>
        <w:rPr>
          <w:sz w:val="24"/>
          <w:szCs w:val="24"/>
        </w:rPr>
      </w:pPr>
      <w:r>
        <w:rPr>
          <w:rFonts w:hint="eastAsia"/>
          <w:sz w:val="24"/>
          <w:szCs w:val="24"/>
        </w:rPr>
        <w:t>10</w:t>
      </w:r>
      <w:r>
        <w:rPr>
          <w:rFonts w:hint="eastAsia" w:ascii="宋体" w:hAnsi="宋体" w:cs="宋体"/>
          <w:sz w:val="24"/>
          <w:szCs w:val="24"/>
        </w:rPr>
        <w:t>.</w:t>
      </w:r>
      <w:r>
        <w:rPr>
          <w:rFonts w:hint="eastAsia"/>
          <w:sz w:val="24"/>
          <w:szCs w:val="24"/>
        </w:rPr>
        <w:t>3 本合同未经双方协商一致，不得变更。</w:t>
      </w:r>
    </w:p>
    <w:p>
      <w:pPr>
        <w:spacing w:line="440" w:lineRule="exact"/>
        <w:ind w:firstLine="480" w:firstLineChars="200"/>
        <w:rPr>
          <w:rFonts w:ascii="宋体" w:hAnsi="宋体" w:cs="宋体"/>
          <w:sz w:val="24"/>
          <w:szCs w:val="24"/>
        </w:rPr>
      </w:pPr>
      <w:r>
        <w:rPr>
          <w:rFonts w:hint="eastAsia" w:ascii="宋体" w:hAnsi="宋体" w:cs="宋体"/>
          <w:sz w:val="24"/>
          <w:szCs w:val="24"/>
        </w:rPr>
        <w:t>10.4 如有未尽事宜，由双方依法订立书面补充合同。</w:t>
      </w:r>
    </w:p>
    <w:p>
      <w:pPr>
        <w:spacing w:line="440" w:lineRule="exact"/>
        <w:ind w:firstLine="480" w:firstLineChars="200"/>
        <w:rPr>
          <w:rFonts w:ascii="宋体" w:hAnsi="宋体"/>
          <w:sz w:val="24"/>
          <w:szCs w:val="24"/>
        </w:rPr>
      </w:pPr>
      <w:r>
        <w:rPr>
          <w:rFonts w:hint="eastAsia" w:ascii="宋体" w:hAnsi="宋体" w:cs="宋体"/>
          <w:sz w:val="24"/>
          <w:szCs w:val="24"/>
        </w:rPr>
        <w:t>10.5本合同一式六份，供方一份，需方五份（采招中心一份，设备处两份，用户单位两份），自双方签字盖章之日起生效，每份具有同等法律效力。</w:t>
      </w:r>
      <w:r>
        <w:rPr>
          <w:rFonts w:hint="eastAsia" w:ascii="宋体" w:hAnsi="宋体"/>
          <w:sz w:val="24"/>
          <w:szCs w:val="24"/>
        </w:rPr>
        <w:t xml:space="preserve"> </w:t>
      </w:r>
    </w:p>
    <w:p>
      <w:pPr>
        <w:spacing w:line="440" w:lineRule="exact"/>
        <w:jc w:val="center"/>
        <w:rPr>
          <w:rFonts w:ascii="宋体" w:hAnsi="宋体"/>
          <w:b/>
          <w:bCs/>
          <w:sz w:val="24"/>
          <w:szCs w:val="24"/>
        </w:rPr>
      </w:pPr>
      <w:r>
        <w:rPr>
          <w:rFonts w:hint="eastAsia" w:ascii="宋体" w:hAnsi="宋体"/>
          <w:b/>
          <w:bCs/>
          <w:sz w:val="24"/>
          <w:szCs w:val="24"/>
        </w:rPr>
        <w:t>-----------------------------以下无正文--------------------------------</w:t>
      </w:r>
    </w:p>
    <w:tbl>
      <w:tblPr>
        <w:tblStyle w:val="30"/>
        <w:tblpPr w:leftFromText="180" w:rightFromText="180" w:vertAnchor="text" w:horzAnchor="page" w:tblpX="1117" w:tblpY="444"/>
        <w:tblOverlap w:val="never"/>
        <w:tblW w:w="0" w:type="auto"/>
        <w:tblInd w:w="0" w:type="dxa"/>
        <w:tblLayout w:type="fixed"/>
        <w:tblCellMar>
          <w:top w:w="0" w:type="dxa"/>
          <w:left w:w="108" w:type="dxa"/>
          <w:bottom w:w="0" w:type="dxa"/>
          <w:right w:w="108" w:type="dxa"/>
        </w:tblCellMar>
      </w:tblPr>
      <w:tblGrid>
        <w:gridCol w:w="4981"/>
        <w:gridCol w:w="4981"/>
      </w:tblGrid>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r>
              <w:rPr>
                <w:rFonts w:hint="eastAsia" w:ascii="宋体" w:hAnsi="宋体"/>
                <w:sz w:val="24"/>
                <w:szCs w:val="24"/>
              </w:rPr>
              <w:t>供方（盖章</w:t>
            </w:r>
            <w:r>
              <w:rPr>
                <w:rFonts w:ascii="宋体" w:hAnsi="宋体"/>
                <w:sz w:val="24"/>
                <w:szCs w:val="24"/>
              </w:rPr>
              <w:t>）</w:t>
            </w:r>
            <w:r>
              <w:rPr>
                <w:rFonts w:hint="eastAsia" w:ascii="宋体" w:hAnsi="宋体"/>
                <w:sz w:val="24"/>
                <w:szCs w:val="24"/>
              </w:rPr>
              <w:t>：</w:t>
            </w:r>
          </w:p>
        </w:tc>
        <w:tc>
          <w:tcPr>
            <w:tcW w:w="4981" w:type="dxa"/>
          </w:tcPr>
          <w:p>
            <w:pPr>
              <w:spacing w:line="440" w:lineRule="exact"/>
              <w:jc w:val="left"/>
              <w:rPr>
                <w:rFonts w:ascii="宋体" w:hAnsi="宋体"/>
                <w:sz w:val="24"/>
                <w:szCs w:val="24"/>
              </w:rPr>
            </w:pPr>
            <w:r>
              <w:rPr>
                <w:rFonts w:hint="eastAsia" w:ascii="宋体" w:hAnsi="宋体"/>
                <w:sz w:val="24"/>
                <w:szCs w:val="24"/>
              </w:rPr>
              <w:t>需方（合同章）：西南大学</w:t>
            </w:r>
          </w:p>
        </w:tc>
      </w:tr>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r>
              <w:rPr>
                <w:rFonts w:hint="eastAsia" w:ascii="宋体" w:hAnsi="宋体"/>
                <w:sz w:val="24"/>
                <w:szCs w:val="24"/>
              </w:rPr>
              <w:t>法定</w:t>
            </w:r>
            <w:r>
              <w:rPr>
                <w:rFonts w:ascii="宋体" w:hAnsi="宋体"/>
                <w:sz w:val="24"/>
                <w:szCs w:val="24"/>
              </w:rPr>
              <w:t>代表人</w:t>
            </w:r>
            <w:r>
              <w:rPr>
                <w:rFonts w:hint="eastAsia" w:ascii="宋体" w:hAnsi="宋体"/>
                <w:sz w:val="24"/>
                <w:szCs w:val="24"/>
              </w:rPr>
              <w:t>：</w:t>
            </w:r>
          </w:p>
        </w:tc>
        <w:tc>
          <w:tcPr>
            <w:tcW w:w="4981" w:type="dxa"/>
          </w:tcPr>
          <w:p>
            <w:pPr>
              <w:spacing w:line="440" w:lineRule="exact"/>
              <w:jc w:val="left"/>
              <w:rPr>
                <w:rFonts w:ascii="宋体" w:hAnsi="宋体"/>
                <w:sz w:val="24"/>
                <w:szCs w:val="24"/>
              </w:rPr>
            </w:pPr>
            <w:r>
              <w:rPr>
                <w:rFonts w:hint="eastAsia" w:ascii="宋体" w:hAnsi="宋体"/>
                <w:sz w:val="24"/>
                <w:szCs w:val="24"/>
              </w:rPr>
              <w:t>法定代表人：张卫国</w:t>
            </w:r>
          </w:p>
        </w:tc>
      </w:tr>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r>
              <w:rPr>
                <w:rFonts w:hint="eastAsia" w:ascii="宋体" w:hAnsi="宋体"/>
                <w:sz w:val="24"/>
                <w:szCs w:val="24"/>
              </w:rPr>
              <w:t>地址：</w:t>
            </w:r>
          </w:p>
        </w:tc>
        <w:tc>
          <w:tcPr>
            <w:tcW w:w="4981" w:type="dxa"/>
          </w:tcPr>
          <w:p>
            <w:pPr>
              <w:spacing w:line="440" w:lineRule="exact"/>
              <w:jc w:val="left"/>
              <w:rPr>
                <w:rFonts w:ascii="宋体" w:hAnsi="宋体"/>
                <w:sz w:val="24"/>
                <w:szCs w:val="24"/>
              </w:rPr>
            </w:pPr>
            <w:r>
              <w:rPr>
                <w:rFonts w:hint="eastAsia" w:ascii="宋体" w:hAnsi="宋体"/>
                <w:sz w:val="24"/>
                <w:szCs w:val="24"/>
              </w:rPr>
              <w:t>地址：重庆市北碚区天生路2号</w:t>
            </w:r>
          </w:p>
        </w:tc>
      </w:tr>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r>
              <w:rPr>
                <w:rFonts w:hint="eastAsia" w:ascii="宋体" w:hAnsi="宋体"/>
                <w:sz w:val="24"/>
                <w:szCs w:val="24"/>
              </w:rPr>
              <w:t>电话：</w:t>
            </w:r>
          </w:p>
        </w:tc>
        <w:tc>
          <w:tcPr>
            <w:tcW w:w="4981" w:type="dxa"/>
          </w:tcPr>
          <w:p>
            <w:pPr>
              <w:spacing w:line="440" w:lineRule="exact"/>
              <w:jc w:val="left"/>
              <w:rPr>
                <w:rFonts w:ascii="宋体" w:hAnsi="宋体"/>
                <w:sz w:val="24"/>
                <w:szCs w:val="24"/>
              </w:rPr>
            </w:pPr>
            <w:r>
              <w:rPr>
                <w:rFonts w:hint="eastAsia" w:ascii="宋体" w:hAnsi="宋体"/>
                <w:sz w:val="24"/>
                <w:szCs w:val="24"/>
              </w:rPr>
              <w:t>邮编:400715</w:t>
            </w:r>
          </w:p>
        </w:tc>
      </w:tr>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p>
        </w:tc>
        <w:tc>
          <w:tcPr>
            <w:tcW w:w="4981" w:type="dxa"/>
          </w:tcPr>
          <w:p>
            <w:pPr>
              <w:spacing w:line="440" w:lineRule="exact"/>
              <w:jc w:val="left"/>
              <w:rPr>
                <w:rFonts w:ascii="宋体" w:hAnsi="宋体"/>
                <w:sz w:val="24"/>
                <w:szCs w:val="24"/>
              </w:rPr>
            </w:pPr>
          </w:p>
        </w:tc>
      </w:tr>
      <w:tr>
        <w:tblPrEx>
          <w:tblCellMar>
            <w:top w:w="0" w:type="dxa"/>
            <w:left w:w="108" w:type="dxa"/>
            <w:bottom w:w="0" w:type="dxa"/>
            <w:right w:w="108" w:type="dxa"/>
          </w:tblCellMar>
        </w:tblPrEx>
        <w:trPr>
          <w:cantSplit/>
          <w:hidden/>
        </w:trPr>
        <w:tc>
          <w:tcPr>
            <w:tcW w:w="4981" w:type="dxa"/>
          </w:tcPr>
          <w:p>
            <w:pPr>
              <w:spacing w:line="440" w:lineRule="exact"/>
              <w:jc w:val="left"/>
              <w:rPr>
                <w:rFonts w:ascii="宋体" w:hAnsi="宋体"/>
                <w:vanish/>
                <w:sz w:val="24"/>
                <w:szCs w:val="24"/>
              </w:rPr>
            </w:pPr>
            <w:r>
              <w:rPr>
                <w:rFonts w:hint="eastAsia" w:ascii="宋体" w:hAnsi="宋体"/>
                <w:vanish/>
                <w:sz w:val="24"/>
                <w:szCs w:val="24"/>
              </w:rPr>
              <w:t>授权代表人（签字）：</w:t>
            </w:r>
          </w:p>
        </w:tc>
        <w:tc>
          <w:tcPr>
            <w:tcW w:w="4981" w:type="dxa"/>
          </w:tcPr>
          <w:p>
            <w:pPr>
              <w:spacing w:line="440" w:lineRule="exact"/>
              <w:jc w:val="left"/>
              <w:rPr>
                <w:rFonts w:ascii="宋体" w:hAnsi="宋体"/>
                <w:sz w:val="24"/>
                <w:szCs w:val="24"/>
              </w:rPr>
            </w:pPr>
            <w:r>
              <w:rPr>
                <w:rFonts w:hint="eastAsia" w:ascii="宋体" w:hAnsi="宋体"/>
                <w:sz w:val="24"/>
                <w:szCs w:val="24"/>
              </w:rPr>
              <w:t>授权代表人（签字）：</w:t>
            </w:r>
            <w:r>
              <w:rPr>
                <w:rFonts w:hint="eastAsia" w:ascii="宋体" w:hAnsi="宋体"/>
                <w:vanish/>
                <w:color w:val="FF0000"/>
                <w:sz w:val="24"/>
                <w:szCs w:val="24"/>
              </w:rPr>
              <w:t>(二级单位主要负责人)</w:t>
            </w:r>
          </w:p>
        </w:tc>
      </w:tr>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p>
        </w:tc>
        <w:tc>
          <w:tcPr>
            <w:tcW w:w="4981" w:type="dxa"/>
          </w:tcPr>
          <w:p>
            <w:pPr>
              <w:spacing w:line="440" w:lineRule="exact"/>
              <w:jc w:val="left"/>
              <w:rPr>
                <w:rFonts w:ascii="宋体" w:hAnsi="宋体"/>
                <w:sz w:val="24"/>
                <w:szCs w:val="24"/>
              </w:rPr>
            </w:pPr>
          </w:p>
        </w:tc>
      </w:tr>
      <w:tr>
        <w:tblPrEx>
          <w:tblCellMar>
            <w:top w:w="0" w:type="dxa"/>
            <w:left w:w="108" w:type="dxa"/>
            <w:bottom w:w="0" w:type="dxa"/>
            <w:right w:w="108" w:type="dxa"/>
          </w:tblCellMar>
        </w:tblPrEx>
        <w:trPr>
          <w:cantSplit/>
        </w:trPr>
        <w:tc>
          <w:tcPr>
            <w:tcW w:w="4981" w:type="dxa"/>
          </w:tcPr>
          <w:p>
            <w:pPr>
              <w:spacing w:line="440" w:lineRule="exact"/>
              <w:jc w:val="left"/>
              <w:rPr>
                <w:rFonts w:ascii="宋体" w:hAnsi="宋体"/>
                <w:sz w:val="24"/>
                <w:szCs w:val="24"/>
              </w:rPr>
            </w:pPr>
            <w:r>
              <w:rPr>
                <w:rFonts w:hint="eastAsia" w:ascii="宋体" w:hAnsi="宋体"/>
                <w:bCs/>
                <w:sz w:val="24"/>
                <w:szCs w:val="24"/>
              </w:rPr>
              <w:t>签约日期：      年     月     日</w:t>
            </w:r>
          </w:p>
        </w:tc>
        <w:tc>
          <w:tcPr>
            <w:tcW w:w="4981" w:type="dxa"/>
          </w:tcPr>
          <w:p>
            <w:pPr>
              <w:spacing w:line="440" w:lineRule="exact"/>
              <w:jc w:val="left"/>
              <w:rPr>
                <w:rFonts w:ascii="宋体" w:hAnsi="宋体"/>
                <w:sz w:val="24"/>
                <w:szCs w:val="24"/>
              </w:rPr>
            </w:pPr>
            <w:r>
              <w:rPr>
                <w:rFonts w:hint="eastAsia" w:ascii="宋体" w:hAnsi="宋体"/>
                <w:sz w:val="24"/>
                <w:szCs w:val="24"/>
              </w:rPr>
              <w:t>签约日期：      年     月     日</w:t>
            </w:r>
          </w:p>
        </w:tc>
      </w:tr>
    </w:tbl>
    <w:p>
      <w:pPr>
        <w:spacing w:line="360" w:lineRule="auto"/>
        <w:rPr>
          <w:rFonts w:ascii="宋体" w:hAnsi="宋体" w:cs="Courier New"/>
          <w:b/>
          <w:bCs/>
          <w:szCs w:val="21"/>
        </w:rPr>
      </w:pPr>
    </w:p>
    <w:p>
      <w:pPr>
        <w:spacing w:line="288" w:lineRule="auto"/>
        <w:rPr>
          <w:rFonts w:ascii="宋体" w:hAnsi="宋体" w:cs="宋体"/>
          <w:sz w:val="24"/>
          <w:szCs w:val="24"/>
        </w:rPr>
      </w:pPr>
    </w:p>
    <w:p>
      <w:pPr>
        <w:pStyle w:val="2"/>
        <w:jc w:val="center"/>
        <w:rPr>
          <w:rFonts w:cs="Times New Roman"/>
          <w:b/>
          <w:bCs/>
          <w:color w:val="000000"/>
          <w:sz w:val="30"/>
          <w:szCs w:val="30"/>
        </w:rPr>
      </w:pPr>
      <w:bookmarkStart w:id="81" w:name="_Hlt41879464"/>
      <w:bookmarkEnd w:id="81"/>
      <w:bookmarkStart w:id="82" w:name="_Toc12789072"/>
      <w:bookmarkStart w:id="83" w:name="_Toc48314273"/>
      <w:r>
        <w:rPr>
          <w:rFonts w:hint="eastAsia"/>
          <w:b/>
          <w:bCs/>
          <w:color w:val="000000"/>
          <w:sz w:val="30"/>
          <w:szCs w:val="30"/>
        </w:rPr>
        <w:t>第六篇询比响应文件格式要求</w:t>
      </w:r>
      <w:bookmarkEnd w:id="82"/>
      <w:bookmarkEnd w:id="83"/>
    </w:p>
    <w:p/>
    <w:p>
      <w:pPr>
        <w:numPr>
          <w:ilvl w:val="0"/>
          <w:numId w:val="4"/>
        </w:numPr>
        <w:spacing w:line="360" w:lineRule="auto"/>
      </w:pPr>
      <w:r>
        <w:rPr>
          <w:rFonts w:hint="eastAsia" w:cs="宋体"/>
        </w:rPr>
        <w:t>竞争函（附录</w:t>
      </w:r>
      <w:r>
        <w:t>1</w:t>
      </w:r>
      <w:r>
        <w:rPr>
          <w:rFonts w:hint="eastAsia" w:cs="宋体"/>
        </w:rPr>
        <w:t>）。</w:t>
      </w:r>
    </w:p>
    <w:p>
      <w:pPr>
        <w:numPr>
          <w:ilvl w:val="0"/>
          <w:numId w:val="4"/>
        </w:numPr>
        <w:spacing w:line="360" w:lineRule="auto"/>
      </w:pPr>
      <w:r>
        <w:rPr>
          <w:rFonts w:hint="eastAsia" w:cs="宋体"/>
        </w:rPr>
        <w:t>明细报价表（附录</w:t>
      </w:r>
      <w:r>
        <w:t>2</w:t>
      </w:r>
      <w:r>
        <w:rPr>
          <w:rFonts w:hint="eastAsia" w:cs="宋体"/>
        </w:rPr>
        <w:t>）。</w:t>
      </w:r>
    </w:p>
    <w:p>
      <w:pPr>
        <w:numPr>
          <w:ilvl w:val="0"/>
          <w:numId w:val="4"/>
        </w:numPr>
        <w:spacing w:line="360" w:lineRule="auto"/>
      </w:pPr>
      <w:r>
        <w:rPr>
          <w:rFonts w:hint="eastAsia" w:cs="宋体"/>
        </w:rPr>
        <w:t>竞标公司情况简介，包括竞标商资质、规模及主要业务人员资质、</w:t>
      </w:r>
    </w:p>
    <w:p>
      <w:pPr>
        <w:spacing w:line="360" w:lineRule="auto"/>
      </w:pPr>
      <w:r>
        <w:rPr>
          <w:rFonts w:hint="eastAsia" w:cs="宋体"/>
        </w:rPr>
        <w:t>数量；竞标公司近三年的业务收入、公司主要经营业绩及典型项目（选取两到三个）。</w:t>
      </w:r>
    </w:p>
    <w:p>
      <w:pPr>
        <w:spacing w:line="360" w:lineRule="auto"/>
        <w:ind w:firstLine="700" w:firstLineChars="250"/>
        <w:rPr>
          <w:rFonts w:cs="宋体"/>
        </w:rPr>
      </w:pPr>
      <w:r>
        <w:rPr>
          <w:rFonts w:hint="eastAsia" w:cs="宋体"/>
        </w:rPr>
        <w:t>4.质量保证措施、技术措施、信息资源支持措施、职业道德规范措施等。</w:t>
      </w:r>
    </w:p>
    <w:p>
      <w:pPr>
        <w:spacing w:line="360" w:lineRule="auto"/>
        <w:rPr>
          <w:rFonts w:cs="宋体"/>
        </w:rPr>
      </w:pPr>
      <w:r>
        <w:rPr>
          <w:rFonts w:cs="宋体"/>
        </w:rPr>
        <w:t xml:space="preserve">     5.</w:t>
      </w:r>
      <w:r>
        <w:rPr>
          <w:rFonts w:hint="eastAsia" w:cs="宋体"/>
        </w:rPr>
        <w:t>供货计划及组织流程</w:t>
      </w:r>
    </w:p>
    <w:p>
      <w:pPr>
        <w:spacing w:line="360" w:lineRule="auto"/>
      </w:pPr>
      <w:r>
        <w:t xml:space="preserve">     6.</w:t>
      </w:r>
      <w:r>
        <w:rPr>
          <w:rFonts w:hint="eastAsia"/>
        </w:rPr>
        <w:t>供应服务承诺（</w:t>
      </w:r>
      <w:r>
        <w:rPr>
          <w:rFonts w:hint="eastAsia"/>
          <w:color w:val="000000"/>
        </w:rPr>
        <w:t>在规定时间内的完成率，</w:t>
      </w:r>
      <w:r>
        <w:rPr>
          <w:rFonts w:hint="eastAsia"/>
        </w:rPr>
        <w:t>并注明追究责任的方式、方法及供应商认为可提供的其他服务等）。</w:t>
      </w:r>
    </w:p>
    <w:p>
      <w:pPr>
        <w:spacing w:line="360" w:lineRule="auto"/>
        <w:ind w:left="753"/>
      </w:pPr>
      <w:r>
        <w:rPr>
          <w:rFonts w:cs="宋体"/>
        </w:rPr>
        <w:t>7.</w:t>
      </w:r>
      <w:r>
        <w:rPr>
          <w:rFonts w:hint="eastAsia" w:cs="宋体"/>
        </w:rPr>
        <w:t>法定代表人身份证明（附录</w:t>
      </w:r>
      <w:r>
        <w:t>3</w:t>
      </w:r>
      <w:r>
        <w:rPr>
          <w:rFonts w:hint="eastAsia" w:cs="宋体"/>
        </w:rPr>
        <w:t>）</w:t>
      </w:r>
    </w:p>
    <w:p>
      <w:pPr>
        <w:spacing w:line="360" w:lineRule="auto"/>
        <w:ind w:left="753"/>
      </w:pPr>
      <w:r>
        <w:rPr>
          <w:rFonts w:cs="宋体"/>
        </w:rPr>
        <w:t>8.</w:t>
      </w:r>
      <w:r>
        <w:rPr>
          <w:rFonts w:hint="eastAsia" w:cs="宋体"/>
        </w:rPr>
        <w:t>法定代表人授权委托书（附录</w:t>
      </w:r>
      <w:r>
        <w:t>4</w:t>
      </w:r>
      <w:r>
        <w:rPr>
          <w:rFonts w:hint="eastAsia" w:cs="宋体"/>
        </w:rPr>
        <w:t>）</w:t>
      </w:r>
    </w:p>
    <w:p>
      <w:pPr>
        <w:spacing w:line="360" w:lineRule="auto"/>
        <w:rPr>
          <w:rFonts w:cs="宋体"/>
        </w:rPr>
      </w:pPr>
      <w:r>
        <w:rPr>
          <w:rFonts w:cs="宋体"/>
        </w:rPr>
        <w:t xml:space="preserve">     9.</w:t>
      </w:r>
      <w:r>
        <w:rPr>
          <w:rFonts w:hint="eastAsia" w:cs="宋体"/>
        </w:rPr>
        <w:t>供应商的资质证明材料：营业执照、税务登记证、法人机构代</w:t>
      </w:r>
    </w:p>
    <w:p>
      <w:pPr>
        <w:spacing w:line="360" w:lineRule="auto"/>
        <w:rPr>
          <w:rStyle w:val="32"/>
          <w:color w:val="000000"/>
        </w:rPr>
      </w:pPr>
      <w:r>
        <w:rPr>
          <w:rFonts w:hint="eastAsia" w:cs="宋体"/>
        </w:rPr>
        <w:t>码证</w:t>
      </w:r>
      <w:r>
        <w:rPr>
          <w:rStyle w:val="32"/>
          <w:rFonts w:hint="eastAsia"/>
          <w:color w:val="000000"/>
        </w:rPr>
        <w:t>提供复印件加盖鲜章；原件备查）。</w:t>
      </w:r>
    </w:p>
    <w:p>
      <w:pPr>
        <w:spacing w:line="360" w:lineRule="auto"/>
      </w:pPr>
      <w:r>
        <w:rPr>
          <w:rFonts w:cs="宋体"/>
        </w:rPr>
        <w:t xml:space="preserve">     10. .</w:t>
      </w:r>
      <w:r>
        <w:rPr>
          <w:rFonts w:hint="eastAsia" w:cs="宋体"/>
        </w:rPr>
        <w:t>相关的证明材料，包括业绩证明（业绩证明要求提供产品的用户名单及相关合同、成交通知书等）、</w:t>
      </w:r>
      <w:r>
        <w:rPr>
          <w:rStyle w:val="32"/>
          <w:rFonts w:hint="eastAsia"/>
          <w:color w:val="000000"/>
        </w:rPr>
        <w:t>近三年的资产负债表、损益表等有关证明材料、</w:t>
      </w:r>
      <w:r>
        <w:rPr>
          <w:rFonts w:hint="eastAsia" w:cs="宋体"/>
        </w:rPr>
        <w:t>授权经销函</w:t>
      </w:r>
      <w:r>
        <w:rPr>
          <w:rStyle w:val="32"/>
          <w:rFonts w:hint="eastAsia"/>
          <w:color w:val="000000"/>
        </w:rPr>
        <w:t>（提供复印件加盖鲜章；原件备查）及主要人员履历表，新成立不足一年的公司应提供银行资信证明。</w:t>
      </w:r>
    </w:p>
    <w:p>
      <w:pPr>
        <w:spacing w:line="360" w:lineRule="auto"/>
        <w:ind w:firstLine="560" w:firstLineChars="200"/>
        <w:rPr>
          <w:rFonts w:cs="宋体"/>
        </w:rPr>
      </w:pPr>
      <w:r>
        <w:rPr>
          <w:rFonts w:cs="宋体"/>
        </w:rPr>
        <w:t>11.</w:t>
      </w:r>
      <w:r>
        <w:rPr>
          <w:rFonts w:hint="eastAsia" w:cs="宋体"/>
        </w:rPr>
        <w:t>竞标产品技术性能偏离表、商务偏离表（指第三篇、第四篇的偏离情况；格式分别见附录</w:t>
      </w:r>
      <w:r>
        <w:rPr>
          <w:rFonts w:cs="宋体"/>
        </w:rPr>
        <w:t>5</w:t>
      </w:r>
      <w:r>
        <w:rPr>
          <w:rFonts w:hint="eastAsia" w:cs="宋体"/>
        </w:rPr>
        <w:t>、附录</w:t>
      </w:r>
      <w:r>
        <w:rPr>
          <w:rFonts w:cs="宋体"/>
        </w:rPr>
        <w:t>6</w:t>
      </w:r>
      <w:r>
        <w:rPr>
          <w:rFonts w:hint="eastAsia" w:cs="宋体"/>
        </w:rPr>
        <w:t>）。</w:t>
      </w:r>
    </w:p>
    <w:p>
      <w:pPr>
        <w:spacing w:line="360" w:lineRule="auto"/>
        <w:ind w:firstLine="560" w:firstLineChars="200"/>
        <w:rPr>
          <w:rFonts w:cs="宋体"/>
        </w:rPr>
      </w:pPr>
      <w:r>
        <w:rPr>
          <w:rFonts w:cs="宋体"/>
        </w:rPr>
        <w:t>12.</w:t>
      </w:r>
      <w:r>
        <w:rPr>
          <w:rFonts w:hint="eastAsia" w:cs="宋体"/>
        </w:rPr>
        <w:t>其他（提供评标标准里的相关因素证明材料）。</w:t>
      </w:r>
    </w:p>
    <w:p>
      <w:pPr>
        <w:spacing w:line="360" w:lineRule="auto"/>
        <w:rPr>
          <w:rFonts w:cs="宋体"/>
        </w:rPr>
      </w:pPr>
      <w:r>
        <w:rPr>
          <w:rFonts w:cs="宋体"/>
        </w:rPr>
        <w:t xml:space="preserve">    13.</w:t>
      </w:r>
      <w:r>
        <w:rPr>
          <w:rFonts w:hint="eastAsia" w:cs="宋体"/>
        </w:rPr>
        <w:t>联系方式及其他：竞标人须提供联系地址、电话、传真、</w:t>
      </w:r>
      <w:r>
        <w:rPr>
          <w:rFonts w:cs="宋体"/>
        </w:rPr>
        <w:t>Eail</w:t>
      </w:r>
      <w:r>
        <w:rPr>
          <w:rFonts w:hint="eastAsia" w:cs="宋体"/>
        </w:rPr>
        <w:t>等有效联络方式。</w:t>
      </w:r>
    </w:p>
    <w:p>
      <w:pPr>
        <w:spacing w:line="360" w:lineRule="auto"/>
        <w:rPr>
          <w:rFonts w:cs="宋体"/>
        </w:rPr>
      </w:pPr>
    </w:p>
    <w:p>
      <w:pPr>
        <w:pStyle w:val="24"/>
        <w:ind w:firstLine="0"/>
        <w:rPr>
          <w:rFonts w:cs="宋体"/>
          <w:i w:val="0"/>
          <w:iCs w:val="0"/>
        </w:rPr>
      </w:pPr>
      <w:r>
        <w:rPr>
          <w:rFonts w:hint="eastAsia" w:cs="宋体"/>
          <w:i w:val="0"/>
          <w:iCs w:val="0"/>
        </w:rPr>
        <w:t>供应商注意事项：</w:t>
      </w:r>
    </w:p>
    <w:p>
      <w:pPr>
        <w:pStyle w:val="24"/>
        <w:ind w:firstLine="0"/>
        <w:rPr>
          <w:i w:val="0"/>
          <w:iCs w:val="0"/>
        </w:rPr>
      </w:pPr>
      <w:r>
        <w:rPr>
          <w:rFonts w:cs="宋体"/>
          <w:i w:val="0"/>
          <w:iCs w:val="0"/>
        </w:rPr>
        <w:t xml:space="preserve">    1.</w:t>
      </w:r>
      <w:r>
        <w:rPr>
          <w:rFonts w:hint="eastAsia" w:cs="宋体"/>
          <w:i w:val="0"/>
          <w:iCs w:val="0"/>
        </w:rPr>
        <w:t>询比响应文件正本的每一页必须加盖公章并由法人或法人授权代表签字；副本可以用复印件。</w:t>
      </w:r>
    </w:p>
    <w:p>
      <w:pPr>
        <w:pStyle w:val="24"/>
        <w:ind w:firstLine="551" w:firstLineChars="196"/>
        <w:rPr>
          <w:i w:val="0"/>
          <w:iCs w:val="0"/>
        </w:rPr>
      </w:pPr>
      <w:r>
        <w:rPr>
          <w:i w:val="0"/>
          <w:iCs w:val="0"/>
        </w:rPr>
        <w:t>2.</w:t>
      </w:r>
      <w:r>
        <w:rPr>
          <w:rFonts w:hint="eastAsia"/>
          <w:i w:val="0"/>
          <w:iCs w:val="0"/>
        </w:rPr>
        <w:t>询比响应文件一式三份，其中正本一份、副本两份；</w:t>
      </w:r>
    </w:p>
    <w:p>
      <w:pPr>
        <w:pStyle w:val="24"/>
        <w:ind w:firstLine="551" w:firstLineChars="196"/>
        <w:rPr>
          <w:i w:val="0"/>
          <w:iCs w:val="0"/>
        </w:rPr>
        <w:sectPr>
          <w:pgSz w:w="11907" w:h="16840"/>
          <w:pgMar w:top="1440" w:right="1440" w:bottom="1440" w:left="1531" w:header="851" w:footer="992" w:gutter="0"/>
          <w:cols w:space="720" w:num="1"/>
          <w:docGrid w:linePitch="380" w:charSpace="-5733"/>
        </w:sectPr>
      </w:pPr>
      <w:r>
        <w:rPr>
          <w:i w:val="0"/>
          <w:iCs w:val="0"/>
        </w:rPr>
        <w:t>3.</w:t>
      </w:r>
      <w:r>
        <w:rPr>
          <w:rFonts w:hint="eastAsia"/>
          <w:i w:val="0"/>
          <w:iCs w:val="0"/>
        </w:rPr>
        <w:t>询比响应文件需编制目录，逐页编号并顺序装订成册，</w:t>
      </w:r>
    </w:p>
    <w:p>
      <w:pPr>
        <w:pStyle w:val="5"/>
      </w:pPr>
      <w:bookmarkStart w:id="84" w:name="_Toc12789073"/>
      <w:r>
        <w:rPr>
          <w:rFonts w:hint="eastAsia" w:cs="黑体"/>
        </w:rPr>
        <w:t>附录</w:t>
      </w:r>
      <w:r>
        <w:t>1</w:t>
      </w:r>
      <w:bookmarkEnd w:id="84"/>
    </w:p>
    <w:p>
      <w:pPr>
        <w:tabs>
          <w:tab w:val="left" w:pos="6300"/>
        </w:tabs>
        <w:snapToGrid w:val="0"/>
        <w:spacing w:line="400" w:lineRule="atLeast"/>
        <w:jc w:val="center"/>
        <w:outlineLvl w:val="0"/>
        <w:rPr>
          <w:rFonts w:eastAsia="黑体"/>
          <w:sz w:val="44"/>
          <w:szCs w:val="44"/>
        </w:rPr>
      </w:pPr>
      <w:r>
        <w:rPr>
          <w:rFonts w:hint="eastAsia" w:eastAsia="黑体" w:cs="黑体"/>
          <w:sz w:val="44"/>
          <w:szCs w:val="44"/>
        </w:rPr>
        <w:t>竞争函</w:t>
      </w:r>
    </w:p>
    <w:p>
      <w:pPr>
        <w:tabs>
          <w:tab w:val="left" w:pos="6300"/>
        </w:tabs>
        <w:snapToGrid w:val="0"/>
        <w:spacing w:line="400" w:lineRule="atLeast"/>
        <w:jc w:val="center"/>
        <w:rPr>
          <w:rFonts w:eastAsia="黑体"/>
          <w:sz w:val="44"/>
          <w:szCs w:val="44"/>
        </w:rPr>
      </w:pPr>
    </w:p>
    <w:p>
      <w:pPr>
        <w:tabs>
          <w:tab w:val="left" w:pos="6300"/>
        </w:tabs>
        <w:snapToGrid w:val="0"/>
        <w:spacing w:line="360" w:lineRule="auto"/>
      </w:pPr>
      <w:r>
        <w:rPr>
          <w:rFonts w:hint="eastAsia" w:cs="宋体"/>
        </w:rPr>
        <w:t>西南大学：</w:t>
      </w:r>
    </w:p>
    <w:p>
      <w:pPr>
        <w:tabs>
          <w:tab w:val="left" w:pos="6300"/>
        </w:tabs>
        <w:snapToGrid w:val="0"/>
        <w:spacing w:line="360" w:lineRule="auto"/>
        <w:ind w:firstLine="570"/>
      </w:pPr>
      <w:r>
        <w:rPr>
          <w:rFonts w:hint="eastAsia" w:cs="宋体"/>
        </w:rPr>
        <w:t>我方收到</w:t>
      </w:r>
      <w:r>
        <w:t>____________________________</w:t>
      </w:r>
      <w:r>
        <w:rPr>
          <w:rFonts w:hint="eastAsia" w:cs="宋体"/>
        </w:rPr>
        <w:t>（项目名称）的询比文件，经详细研究，决定按贵方采购文件的要求参加该采购项目的询比。</w:t>
      </w:r>
    </w:p>
    <w:p>
      <w:pPr>
        <w:tabs>
          <w:tab w:val="left" w:pos="6300"/>
        </w:tabs>
        <w:snapToGrid w:val="0"/>
        <w:spacing w:line="360" w:lineRule="auto"/>
        <w:ind w:firstLine="570"/>
      </w:pPr>
      <w:r>
        <w:t xml:space="preserve">1. </w:t>
      </w:r>
      <w:r>
        <w:rPr>
          <w:rFonts w:hint="eastAsia" w:cs="宋体"/>
        </w:rPr>
        <w:t>愿意按照采购文件中的一切要求，提供货物及技术服务。</w:t>
      </w:r>
    </w:p>
    <w:p>
      <w:pPr>
        <w:tabs>
          <w:tab w:val="left" w:pos="6300"/>
        </w:tabs>
        <w:snapToGrid w:val="0"/>
        <w:spacing w:line="360" w:lineRule="auto"/>
        <w:ind w:firstLine="570"/>
      </w:pPr>
      <w:r>
        <w:t xml:space="preserve">2. </w:t>
      </w:r>
      <w:r>
        <w:rPr>
          <w:rFonts w:hint="eastAsia" w:cs="宋体"/>
        </w:rPr>
        <w:t>我方现提交的询比响应文件为：正本一份。</w:t>
      </w:r>
    </w:p>
    <w:p>
      <w:pPr>
        <w:tabs>
          <w:tab w:val="left" w:pos="6300"/>
        </w:tabs>
        <w:snapToGrid w:val="0"/>
        <w:spacing w:line="360" w:lineRule="auto"/>
        <w:ind w:firstLine="570"/>
      </w:pPr>
      <w:r>
        <w:t>3</w:t>
      </w:r>
      <w:r>
        <w:rPr>
          <w:rFonts w:hint="eastAsia"/>
        </w:rPr>
        <w:t>．如果我方询比响应文件被接受，我方将履行采购文件中规定的各项要求，足额提交履约保证金，并按合同约定条款承担我方的责任。</w:t>
      </w:r>
    </w:p>
    <w:p>
      <w:pPr>
        <w:tabs>
          <w:tab w:val="left" w:pos="6300"/>
        </w:tabs>
        <w:snapToGrid w:val="0"/>
        <w:spacing w:line="360" w:lineRule="auto"/>
        <w:ind w:firstLine="570"/>
        <w:rPr>
          <w:i/>
          <w:iCs/>
          <w:color w:val="FF00FF"/>
        </w:rPr>
      </w:pPr>
    </w:p>
    <w:p>
      <w:pPr>
        <w:tabs>
          <w:tab w:val="left" w:pos="6300"/>
        </w:tabs>
        <w:snapToGrid w:val="0"/>
        <w:spacing w:line="360" w:lineRule="auto"/>
        <w:ind w:firstLine="570"/>
      </w:pPr>
    </w:p>
    <w:p>
      <w:pPr>
        <w:tabs>
          <w:tab w:val="left" w:pos="6300"/>
        </w:tabs>
        <w:snapToGrid w:val="0"/>
        <w:spacing w:line="360" w:lineRule="auto"/>
        <w:ind w:firstLine="570"/>
      </w:pPr>
      <w:r>
        <w:rPr>
          <w:rFonts w:hint="eastAsia" w:cs="宋体"/>
        </w:rPr>
        <w:t>供应商（公章）：</w:t>
      </w:r>
    </w:p>
    <w:p>
      <w:pPr>
        <w:tabs>
          <w:tab w:val="left" w:pos="6300"/>
        </w:tabs>
        <w:snapToGrid w:val="0"/>
        <w:spacing w:line="360" w:lineRule="auto"/>
        <w:ind w:firstLine="570"/>
      </w:pPr>
      <w:r>
        <w:rPr>
          <w:rFonts w:hint="eastAsia" w:cs="宋体"/>
        </w:rPr>
        <w:t>地址：</w:t>
      </w:r>
    </w:p>
    <w:p>
      <w:pPr>
        <w:tabs>
          <w:tab w:val="left" w:pos="6300"/>
        </w:tabs>
        <w:snapToGrid w:val="0"/>
        <w:spacing w:line="360" w:lineRule="auto"/>
        <w:ind w:firstLine="570"/>
      </w:pPr>
      <w:r>
        <w:rPr>
          <w:rFonts w:hint="eastAsia" w:cs="宋体"/>
        </w:rPr>
        <w:t>电话：传真：</w:t>
      </w:r>
    </w:p>
    <w:p>
      <w:pPr>
        <w:tabs>
          <w:tab w:val="left" w:pos="6300"/>
        </w:tabs>
        <w:snapToGrid w:val="0"/>
        <w:spacing w:line="360" w:lineRule="auto"/>
        <w:ind w:firstLine="570"/>
      </w:pPr>
      <w:r>
        <w:rPr>
          <w:rFonts w:hint="eastAsia" w:cs="宋体"/>
        </w:rPr>
        <w:t>网址：邮箱地址：</w:t>
      </w:r>
    </w:p>
    <w:p>
      <w:pPr>
        <w:tabs>
          <w:tab w:val="left" w:pos="6300"/>
        </w:tabs>
        <w:snapToGrid w:val="0"/>
        <w:spacing w:line="360" w:lineRule="auto"/>
        <w:ind w:firstLine="570"/>
      </w:pPr>
      <w:r>
        <w:rPr>
          <w:rFonts w:hint="eastAsia" w:cs="宋体"/>
        </w:rPr>
        <w:t>联系人：邮编：</w:t>
      </w:r>
    </w:p>
    <w:p>
      <w:pPr>
        <w:tabs>
          <w:tab w:val="left" w:pos="6300"/>
        </w:tabs>
        <w:snapToGrid w:val="0"/>
        <w:spacing w:line="360" w:lineRule="auto"/>
        <w:ind w:firstLine="570"/>
      </w:pPr>
    </w:p>
    <w:p>
      <w:pPr>
        <w:snapToGrid w:val="0"/>
        <w:spacing w:line="360" w:lineRule="auto"/>
        <w:ind w:firstLine="560" w:firstLineChars="200"/>
        <w:jc w:val="right"/>
        <w:rPr>
          <w:rFonts w:cs="宋体"/>
        </w:rPr>
      </w:pPr>
      <w:r>
        <w:rPr>
          <w:rFonts w:hint="eastAsia" w:cs="宋体"/>
        </w:rPr>
        <w:t>年月日</w:t>
      </w:r>
    </w:p>
    <w:p>
      <w:pPr>
        <w:snapToGrid w:val="0"/>
        <w:spacing w:line="360" w:lineRule="auto"/>
        <w:ind w:firstLine="560" w:firstLineChars="200"/>
        <w:jc w:val="right"/>
        <w:rPr>
          <w:rFonts w:cs="宋体"/>
        </w:rPr>
      </w:pPr>
    </w:p>
    <w:p>
      <w:pPr>
        <w:snapToGrid w:val="0"/>
        <w:spacing w:line="360" w:lineRule="auto"/>
        <w:ind w:firstLine="560" w:firstLineChars="200"/>
        <w:jc w:val="right"/>
        <w:rPr>
          <w:rFonts w:cs="宋体"/>
        </w:rPr>
      </w:pPr>
    </w:p>
    <w:p>
      <w:pPr>
        <w:snapToGrid w:val="0"/>
        <w:spacing w:line="360" w:lineRule="auto"/>
        <w:ind w:firstLine="560" w:firstLineChars="200"/>
        <w:jc w:val="right"/>
        <w:rPr>
          <w:rFonts w:cs="宋体"/>
        </w:rPr>
      </w:pPr>
    </w:p>
    <w:p>
      <w:pPr>
        <w:snapToGrid w:val="0"/>
        <w:spacing w:line="360" w:lineRule="auto"/>
        <w:ind w:firstLine="560" w:firstLineChars="200"/>
        <w:jc w:val="right"/>
        <w:rPr>
          <w:rFonts w:cs="宋体"/>
        </w:rPr>
      </w:pPr>
    </w:p>
    <w:p>
      <w:pPr>
        <w:snapToGrid w:val="0"/>
        <w:spacing w:line="360" w:lineRule="auto"/>
        <w:ind w:firstLine="560" w:firstLineChars="200"/>
        <w:jc w:val="right"/>
        <w:sectPr>
          <w:headerReference r:id="rId9" w:type="default"/>
          <w:pgSz w:w="11907" w:h="16840"/>
          <w:pgMar w:top="1440" w:right="1797" w:bottom="1440" w:left="1797" w:header="851" w:footer="992" w:gutter="0"/>
          <w:cols w:space="720" w:num="1"/>
          <w:docGrid w:type="lines" w:linePitch="380" w:charSpace="-5733"/>
        </w:sectPr>
      </w:pPr>
    </w:p>
    <w:p>
      <w:pPr>
        <w:pStyle w:val="5"/>
      </w:pPr>
      <w:r>
        <w:rPr>
          <w:rFonts w:hint="eastAsia" w:cs="黑体"/>
        </w:rPr>
        <w:t>附录</w:t>
      </w:r>
      <w:r>
        <w:t>2</w:t>
      </w:r>
    </w:p>
    <w:p>
      <w:pPr>
        <w:jc w:val="center"/>
        <w:rPr>
          <w:b/>
          <w:bCs/>
          <w:sz w:val="36"/>
          <w:szCs w:val="36"/>
        </w:rPr>
      </w:pPr>
      <w:r>
        <w:rPr>
          <w:rFonts w:hint="eastAsia" w:cs="宋体"/>
          <w:b/>
          <w:bCs/>
          <w:sz w:val="36"/>
          <w:szCs w:val="36"/>
        </w:rPr>
        <w:t>明细报价表</w:t>
      </w:r>
    </w:p>
    <w:tbl>
      <w:tblPr>
        <w:tblStyle w:val="30"/>
        <w:tblW w:w="10279"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2047"/>
        <w:gridCol w:w="1701"/>
        <w:gridCol w:w="1701"/>
        <w:gridCol w:w="1417"/>
        <w:gridCol w:w="851"/>
        <w:gridCol w:w="850"/>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861" w:type="dxa"/>
            <w:vAlign w:val="center"/>
          </w:tcPr>
          <w:p>
            <w:pPr>
              <w:snapToGrid w:val="0"/>
              <w:spacing w:line="360" w:lineRule="atLeast"/>
              <w:jc w:val="center"/>
              <w:rPr>
                <w:rFonts w:ascii="宋体"/>
              </w:rPr>
            </w:pPr>
            <w:r>
              <w:rPr>
                <w:rFonts w:hint="eastAsia" w:ascii="宋体"/>
              </w:rPr>
              <w:t>序号</w:t>
            </w:r>
          </w:p>
        </w:tc>
        <w:tc>
          <w:tcPr>
            <w:tcW w:w="2047" w:type="dxa"/>
            <w:vAlign w:val="center"/>
          </w:tcPr>
          <w:p>
            <w:pPr>
              <w:snapToGrid w:val="0"/>
              <w:spacing w:line="360" w:lineRule="atLeast"/>
              <w:jc w:val="center"/>
              <w:rPr>
                <w:rFonts w:ascii="宋体"/>
              </w:rPr>
            </w:pPr>
            <w:r>
              <w:rPr>
                <w:rFonts w:ascii="宋体"/>
              </w:rPr>
              <w:t>单项</w:t>
            </w:r>
            <w:r>
              <w:rPr>
                <w:rFonts w:hint="eastAsia" w:ascii="宋体"/>
              </w:rPr>
              <w:t>设备</w:t>
            </w:r>
            <w:r>
              <w:rPr>
                <w:rFonts w:ascii="宋体"/>
              </w:rPr>
              <w:t>名称</w:t>
            </w:r>
          </w:p>
        </w:tc>
        <w:tc>
          <w:tcPr>
            <w:tcW w:w="1701" w:type="dxa"/>
            <w:vAlign w:val="center"/>
          </w:tcPr>
          <w:p>
            <w:pPr>
              <w:snapToGrid w:val="0"/>
              <w:spacing w:line="360" w:lineRule="atLeast"/>
              <w:jc w:val="center"/>
              <w:rPr>
                <w:rFonts w:ascii="宋体"/>
              </w:rPr>
            </w:pPr>
            <w:r>
              <w:rPr>
                <w:rFonts w:hint="eastAsia" w:ascii="宋体"/>
              </w:rPr>
              <w:t>品牌</w:t>
            </w:r>
            <w:r>
              <w:rPr>
                <w:rFonts w:ascii="宋体"/>
              </w:rPr>
              <w:t>及型号</w:t>
            </w:r>
          </w:p>
        </w:tc>
        <w:tc>
          <w:tcPr>
            <w:tcW w:w="1701" w:type="dxa"/>
            <w:vAlign w:val="center"/>
          </w:tcPr>
          <w:p>
            <w:pPr>
              <w:snapToGrid w:val="0"/>
              <w:spacing w:line="360" w:lineRule="atLeast"/>
              <w:jc w:val="center"/>
              <w:rPr>
                <w:rFonts w:ascii="宋体"/>
              </w:rPr>
            </w:pPr>
            <w:r>
              <w:rPr>
                <w:rFonts w:hint="eastAsia" w:ascii="宋体"/>
              </w:rPr>
              <w:t>技术</w:t>
            </w:r>
            <w:r>
              <w:rPr>
                <w:rFonts w:ascii="宋体"/>
              </w:rPr>
              <w:t>参数</w:t>
            </w:r>
          </w:p>
        </w:tc>
        <w:tc>
          <w:tcPr>
            <w:tcW w:w="1417" w:type="dxa"/>
          </w:tcPr>
          <w:p>
            <w:pPr>
              <w:snapToGrid w:val="0"/>
              <w:spacing w:line="360" w:lineRule="atLeast"/>
              <w:jc w:val="center"/>
              <w:rPr>
                <w:rFonts w:ascii="宋体"/>
              </w:rPr>
            </w:pPr>
            <w:r>
              <w:rPr>
                <w:rFonts w:hint="eastAsia" w:ascii="宋体"/>
              </w:rPr>
              <w:t>产</w:t>
            </w:r>
            <w:r>
              <w:rPr>
                <w:rFonts w:ascii="宋体"/>
              </w:rPr>
              <w:t>地及生产厂商</w:t>
            </w:r>
          </w:p>
        </w:tc>
        <w:tc>
          <w:tcPr>
            <w:tcW w:w="851" w:type="dxa"/>
          </w:tcPr>
          <w:p>
            <w:pPr>
              <w:snapToGrid w:val="0"/>
              <w:spacing w:line="360" w:lineRule="atLeast"/>
              <w:jc w:val="center"/>
              <w:rPr>
                <w:rFonts w:ascii="宋体"/>
              </w:rPr>
            </w:pPr>
            <w:r>
              <w:rPr>
                <w:rFonts w:hint="eastAsia" w:ascii="宋体"/>
              </w:rPr>
              <w:t>单位</w:t>
            </w:r>
          </w:p>
        </w:tc>
        <w:tc>
          <w:tcPr>
            <w:tcW w:w="850" w:type="dxa"/>
          </w:tcPr>
          <w:p>
            <w:pPr>
              <w:snapToGrid w:val="0"/>
              <w:spacing w:line="360" w:lineRule="atLeast"/>
              <w:jc w:val="center"/>
              <w:rPr>
                <w:rFonts w:ascii="宋体"/>
              </w:rPr>
            </w:pPr>
            <w:r>
              <w:rPr>
                <w:rFonts w:hint="eastAsia" w:ascii="宋体"/>
              </w:rPr>
              <w:t>数量</w:t>
            </w:r>
          </w:p>
        </w:tc>
        <w:tc>
          <w:tcPr>
            <w:tcW w:w="851" w:type="dxa"/>
            <w:vAlign w:val="center"/>
          </w:tcPr>
          <w:p>
            <w:pPr>
              <w:snapToGrid w:val="0"/>
              <w:spacing w:line="360" w:lineRule="atLeast"/>
              <w:jc w:val="center"/>
              <w:rPr>
                <w:rFonts w:ascii="宋体"/>
              </w:rPr>
            </w:pPr>
            <w:r>
              <w:rPr>
                <w:rFonts w:hint="eastAsia" w:ascii="宋体"/>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861" w:type="dxa"/>
            <w:vAlign w:val="center"/>
          </w:tcPr>
          <w:p>
            <w:pPr>
              <w:snapToGrid w:val="0"/>
              <w:spacing w:line="360" w:lineRule="atLeast"/>
              <w:jc w:val="center"/>
              <w:rPr>
                <w:rFonts w:ascii="宋体"/>
              </w:rPr>
            </w:pPr>
          </w:p>
        </w:tc>
        <w:tc>
          <w:tcPr>
            <w:tcW w:w="2047" w:type="dxa"/>
            <w:vAlign w:val="center"/>
          </w:tcPr>
          <w:p>
            <w:pPr>
              <w:snapToGrid w:val="0"/>
              <w:spacing w:line="360" w:lineRule="atLeast"/>
              <w:jc w:val="center"/>
              <w:rPr>
                <w:rFonts w:ascii="宋体"/>
              </w:rPr>
            </w:pPr>
          </w:p>
        </w:tc>
        <w:tc>
          <w:tcPr>
            <w:tcW w:w="1701" w:type="dxa"/>
            <w:vAlign w:val="center"/>
          </w:tcPr>
          <w:p>
            <w:pPr>
              <w:snapToGrid w:val="0"/>
              <w:spacing w:line="360" w:lineRule="atLeast"/>
              <w:jc w:val="center"/>
              <w:rPr>
                <w:rFonts w:ascii="宋体"/>
              </w:rPr>
            </w:pPr>
          </w:p>
        </w:tc>
        <w:tc>
          <w:tcPr>
            <w:tcW w:w="1701" w:type="dxa"/>
            <w:vAlign w:val="center"/>
          </w:tcPr>
          <w:p>
            <w:pPr>
              <w:pStyle w:val="2"/>
              <w:rPr>
                <w:rFonts w:cs="Times New Roman"/>
              </w:rPr>
            </w:pPr>
          </w:p>
        </w:tc>
        <w:tc>
          <w:tcPr>
            <w:tcW w:w="1417" w:type="dxa"/>
          </w:tcPr>
          <w:p>
            <w:pPr>
              <w:pStyle w:val="2"/>
              <w:rPr>
                <w:rFonts w:cs="Times New Roman"/>
              </w:rPr>
            </w:pPr>
          </w:p>
        </w:tc>
        <w:tc>
          <w:tcPr>
            <w:tcW w:w="851" w:type="dxa"/>
          </w:tcPr>
          <w:p>
            <w:pPr>
              <w:pStyle w:val="2"/>
              <w:rPr>
                <w:rFonts w:cs="Times New Roman"/>
              </w:rPr>
            </w:pPr>
          </w:p>
        </w:tc>
        <w:tc>
          <w:tcPr>
            <w:tcW w:w="850" w:type="dxa"/>
          </w:tcPr>
          <w:p>
            <w:pPr>
              <w:pStyle w:val="2"/>
              <w:rPr>
                <w:rFonts w:cs="Times New Roman"/>
              </w:rPr>
            </w:pPr>
          </w:p>
        </w:tc>
        <w:tc>
          <w:tcPr>
            <w:tcW w:w="851" w:type="dxa"/>
            <w:vAlign w:val="center"/>
          </w:tcPr>
          <w:p>
            <w:pPr>
              <w:pStyle w:val="2"/>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861" w:type="dxa"/>
            <w:vAlign w:val="center"/>
          </w:tcPr>
          <w:p>
            <w:pPr>
              <w:snapToGrid w:val="0"/>
              <w:spacing w:line="360" w:lineRule="atLeast"/>
              <w:jc w:val="center"/>
              <w:rPr>
                <w:rFonts w:ascii="宋体"/>
              </w:rPr>
            </w:pPr>
          </w:p>
        </w:tc>
        <w:tc>
          <w:tcPr>
            <w:tcW w:w="2047" w:type="dxa"/>
            <w:vAlign w:val="center"/>
          </w:tcPr>
          <w:p>
            <w:pPr>
              <w:snapToGrid w:val="0"/>
              <w:spacing w:line="360" w:lineRule="atLeast"/>
              <w:jc w:val="center"/>
              <w:rPr>
                <w:rFonts w:ascii="宋体"/>
              </w:rPr>
            </w:pPr>
          </w:p>
        </w:tc>
        <w:tc>
          <w:tcPr>
            <w:tcW w:w="1701" w:type="dxa"/>
            <w:vAlign w:val="center"/>
          </w:tcPr>
          <w:p>
            <w:pPr>
              <w:snapToGrid w:val="0"/>
              <w:spacing w:line="360" w:lineRule="atLeast"/>
              <w:jc w:val="center"/>
              <w:rPr>
                <w:rFonts w:ascii="宋体"/>
              </w:rPr>
            </w:pPr>
          </w:p>
        </w:tc>
        <w:tc>
          <w:tcPr>
            <w:tcW w:w="1701" w:type="dxa"/>
            <w:vAlign w:val="center"/>
          </w:tcPr>
          <w:p>
            <w:pPr>
              <w:snapToGrid w:val="0"/>
              <w:spacing w:line="360" w:lineRule="atLeast"/>
              <w:rPr>
                <w:rFonts w:ascii="宋体"/>
              </w:rPr>
            </w:pPr>
          </w:p>
        </w:tc>
        <w:tc>
          <w:tcPr>
            <w:tcW w:w="1417" w:type="dxa"/>
          </w:tcPr>
          <w:p>
            <w:pPr>
              <w:snapToGrid w:val="0"/>
              <w:spacing w:line="360" w:lineRule="atLeast"/>
              <w:rPr>
                <w:rFonts w:ascii="宋体"/>
              </w:rPr>
            </w:pPr>
          </w:p>
        </w:tc>
        <w:tc>
          <w:tcPr>
            <w:tcW w:w="851" w:type="dxa"/>
          </w:tcPr>
          <w:p>
            <w:pPr>
              <w:snapToGrid w:val="0"/>
              <w:spacing w:line="360" w:lineRule="atLeast"/>
              <w:rPr>
                <w:rFonts w:ascii="宋体"/>
              </w:rPr>
            </w:pPr>
          </w:p>
        </w:tc>
        <w:tc>
          <w:tcPr>
            <w:tcW w:w="850" w:type="dxa"/>
          </w:tcPr>
          <w:p>
            <w:pPr>
              <w:snapToGrid w:val="0"/>
              <w:spacing w:line="360" w:lineRule="atLeast"/>
              <w:rPr>
                <w:rFonts w:ascii="宋体"/>
              </w:rPr>
            </w:pPr>
          </w:p>
        </w:tc>
        <w:tc>
          <w:tcPr>
            <w:tcW w:w="851" w:type="dxa"/>
            <w:vAlign w:val="center"/>
          </w:tcPr>
          <w:p>
            <w:pPr>
              <w:snapToGrid w:val="0"/>
              <w:spacing w:line="360" w:lineRule="atLeast"/>
              <w:rPr>
                <w:rFonts w:asci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861" w:type="dxa"/>
            <w:vAlign w:val="center"/>
          </w:tcPr>
          <w:p>
            <w:pPr>
              <w:snapToGrid w:val="0"/>
              <w:spacing w:line="360" w:lineRule="atLeast"/>
              <w:jc w:val="center"/>
              <w:rPr>
                <w:rFonts w:ascii="宋体"/>
              </w:rPr>
            </w:pPr>
          </w:p>
        </w:tc>
        <w:tc>
          <w:tcPr>
            <w:tcW w:w="2047" w:type="dxa"/>
            <w:vAlign w:val="center"/>
          </w:tcPr>
          <w:p>
            <w:pPr>
              <w:snapToGrid w:val="0"/>
              <w:spacing w:line="360" w:lineRule="atLeast"/>
              <w:jc w:val="center"/>
              <w:rPr>
                <w:rFonts w:ascii="宋体"/>
              </w:rPr>
            </w:pPr>
          </w:p>
        </w:tc>
        <w:tc>
          <w:tcPr>
            <w:tcW w:w="1701" w:type="dxa"/>
            <w:vAlign w:val="center"/>
          </w:tcPr>
          <w:p>
            <w:pPr>
              <w:snapToGrid w:val="0"/>
              <w:spacing w:line="360" w:lineRule="atLeast"/>
              <w:jc w:val="center"/>
              <w:rPr>
                <w:rFonts w:ascii="宋体"/>
              </w:rPr>
            </w:pPr>
          </w:p>
        </w:tc>
        <w:tc>
          <w:tcPr>
            <w:tcW w:w="1701" w:type="dxa"/>
            <w:vAlign w:val="center"/>
          </w:tcPr>
          <w:p>
            <w:pPr>
              <w:pStyle w:val="2"/>
              <w:rPr>
                <w:rFonts w:cs="Times New Roman"/>
              </w:rPr>
            </w:pPr>
          </w:p>
        </w:tc>
        <w:tc>
          <w:tcPr>
            <w:tcW w:w="1417" w:type="dxa"/>
          </w:tcPr>
          <w:p>
            <w:pPr>
              <w:pStyle w:val="2"/>
              <w:rPr>
                <w:rFonts w:cs="Times New Roman"/>
              </w:rPr>
            </w:pPr>
          </w:p>
        </w:tc>
        <w:tc>
          <w:tcPr>
            <w:tcW w:w="851" w:type="dxa"/>
          </w:tcPr>
          <w:p>
            <w:pPr>
              <w:pStyle w:val="2"/>
              <w:rPr>
                <w:rFonts w:cs="Times New Roman"/>
              </w:rPr>
            </w:pPr>
          </w:p>
        </w:tc>
        <w:tc>
          <w:tcPr>
            <w:tcW w:w="850" w:type="dxa"/>
          </w:tcPr>
          <w:p>
            <w:pPr>
              <w:pStyle w:val="2"/>
              <w:rPr>
                <w:rFonts w:cs="Times New Roman"/>
              </w:rPr>
            </w:pPr>
          </w:p>
        </w:tc>
        <w:tc>
          <w:tcPr>
            <w:tcW w:w="851" w:type="dxa"/>
            <w:vAlign w:val="center"/>
          </w:tcPr>
          <w:p>
            <w:pPr>
              <w:pStyle w:val="2"/>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861" w:type="dxa"/>
            <w:vAlign w:val="center"/>
          </w:tcPr>
          <w:p>
            <w:pPr>
              <w:snapToGrid w:val="0"/>
              <w:spacing w:line="360" w:lineRule="atLeast"/>
              <w:jc w:val="center"/>
              <w:rPr>
                <w:rFonts w:ascii="宋体"/>
              </w:rPr>
            </w:pPr>
          </w:p>
        </w:tc>
        <w:tc>
          <w:tcPr>
            <w:tcW w:w="2047" w:type="dxa"/>
            <w:vAlign w:val="center"/>
          </w:tcPr>
          <w:p>
            <w:pPr>
              <w:snapToGrid w:val="0"/>
              <w:spacing w:line="360" w:lineRule="atLeast"/>
              <w:jc w:val="center"/>
              <w:rPr>
                <w:rFonts w:ascii="宋体"/>
              </w:rPr>
            </w:pPr>
          </w:p>
        </w:tc>
        <w:tc>
          <w:tcPr>
            <w:tcW w:w="1701" w:type="dxa"/>
            <w:vAlign w:val="center"/>
          </w:tcPr>
          <w:p>
            <w:pPr>
              <w:snapToGrid w:val="0"/>
              <w:spacing w:line="360" w:lineRule="atLeast"/>
              <w:jc w:val="center"/>
              <w:rPr>
                <w:rFonts w:ascii="宋体"/>
              </w:rPr>
            </w:pPr>
          </w:p>
        </w:tc>
        <w:tc>
          <w:tcPr>
            <w:tcW w:w="1701" w:type="dxa"/>
            <w:vAlign w:val="center"/>
          </w:tcPr>
          <w:p>
            <w:pPr>
              <w:pStyle w:val="2"/>
              <w:rPr>
                <w:rFonts w:cs="Times New Roman"/>
              </w:rPr>
            </w:pPr>
          </w:p>
        </w:tc>
        <w:tc>
          <w:tcPr>
            <w:tcW w:w="1417" w:type="dxa"/>
          </w:tcPr>
          <w:p>
            <w:pPr>
              <w:pStyle w:val="2"/>
              <w:rPr>
                <w:rFonts w:cs="Times New Roman"/>
              </w:rPr>
            </w:pPr>
          </w:p>
        </w:tc>
        <w:tc>
          <w:tcPr>
            <w:tcW w:w="851" w:type="dxa"/>
          </w:tcPr>
          <w:p>
            <w:pPr>
              <w:pStyle w:val="2"/>
              <w:rPr>
                <w:rFonts w:cs="Times New Roman"/>
              </w:rPr>
            </w:pPr>
          </w:p>
        </w:tc>
        <w:tc>
          <w:tcPr>
            <w:tcW w:w="850" w:type="dxa"/>
          </w:tcPr>
          <w:p>
            <w:pPr>
              <w:pStyle w:val="2"/>
              <w:rPr>
                <w:rFonts w:cs="Times New Roman"/>
              </w:rPr>
            </w:pPr>
          </w:p>
        </w:tc>
        <w:tc>
          <w:tcPr>
            <w:tcW w:w="851" w:type="dxa"/>
            <w:vAlign w:val="center"/>
          </w:tcPr>
          <w:p>
            <w:pPr>
              <w:pStyle w:val="2"/>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10279" w:type="dxa"/>
            <w:gridSpan w:val="8"/>
            <w:tcBorders>
              <w:bottom w:val="single" w:color="auto" w:sz="4" w:space="0"/>
            </w:tcBorders>
            <w:vAlign w:val="center"/>
          </w:tcPr>
          <w:p>
            <w:pPr>
              <w:widowControl/>
              <w:jc w:val="left"/>
            </w:pPr>
            <w:r>
              <w:rPr>
                <w:rFonts w:hint="eastAsia"/>
              </w:rPr>
              <w:t>合计</w:t>
            </w:r>
            <w:r>
              <w:t>：</w:t>
            </w:r>
          </w:p>
        </w:tc>
      </w:tr>
    </w:tbl>
    <w:p>
      <w:pPr>
        <w:snapToGrid w:val="0"/>
        <w:spacing w:line="360" w:lineRule="auto"/>
        <w:rPr>
          <w:bdr w:val="single" w:color="000000" w:sz="4" w:space="0"/>
        </w:rPr>
      </w:pPr>
    </w:p>
    <w:p>
      <w:pPr>
        <w:pStyle w:val="21"/>
        <w:snapToGrid w:val="0"/>
        <w:spacing w:line="360" w:lineRule="auto"/>
      </w:pPr>
      <w:r>
        <w:rPr>
          <w:rFonts w:hint="eastAsia" w:cs="宋体"/>
        </w:rPr>
        <w:t>供应商名称：</w:t>
      </w:r>
    </w:p>
    <w:p>
      <w:pPr>
        <w:ind w:firstLine="5600" w:firstLineChars="2000"/>
      </w:pPr>
      <w:r>
        <w:rPr>
          <w:rFonts w:cs="宋体"/>
        </w:rPr>
        <w:t>年</w:t>
      </w:r>
      <w:r>
        <w:rPr>
          <w:rFonts w:hint="eastAsia" w:cs="宋体"/>
        </w:rPr>
        <w:t xml:space="preserve">   月   日</w:t>
      </w:r>
    </w:p>
    <w:p>
      <w:pPr>
        <w:snapToGrid w:val="0"/>
        <w:spacing w:line="360" w:lineRule="auto"/>
        <w:ind w:firstLine="560" w:firstLineChars="200"/>
        <w:rPr>
          <w:bdr w:val="single" w:color="000000" w:sz="4" w:space="0"/>
        </w:rPr>
        <w:sectPr>
          <w:pgSz w:w="11907" w:h="16840"/>
          <w:pgMar w:top="1440" w:right="1253" w:bottom="1440" w:left="1518" w:header="851" w:footer="992" w:gutter="0"/>
          <w:cols w:space="720" w:num="1"/>
          <w:docGrid w:type="lines" w:linePitch="381" w:charSpace="-5733"/>
        </w:sectPr>
      </w:pPr>
    </w:p>
    <w:p>
      <w:pPr>
        <w:pStyle w:val="5"/>
      </w:pPr>
      <w:r>
        <w:rPr>
          <w:rFonts w:hint="eastAsia" w:cs="黑体"/>
        </w:rPr>
        <w:t>附录</w:t>
      </w:r>
      <w:r>
        <w:t>3</w:t>
      </w:r>
    </w:p>
    <w:p>
      <w:pPr>
        <w:tabs>
          <w:tab w:val="left" w:pos="6300"/>
        </w:tabs>
        <w:snapToGrid w:val="0"/>
        <w:spacing w:line="400" w:lineRule="atLeast"/>
        <w:jc w:val="center"/>
        <w:outlineLvl w:val="0"/>
        <w:rPr>
          <w:rFonts w:eastAsia="黑体"/>
          <w:sz w:val="44"/>
          <w:szCs w:val="44"/>
        </w:rPr>
      </w:pPr>
      <w:r>
        <w:rPr>
          <w:rFonts w:hint="eastAsia" w:eastAsia="黑体" w:cs="黑体"/>
          <w:sz w:val="44"/>
          <w:szCs w:val="44"/>
        </w:rPr>
        <w:t>法定代表人身份证明书（格式）</w:t>
      </w:r>
    </w:p>
    <w:p>
      <w:pPr>
        <w:tabs>
          <w:tab w:val="left" w:pos="6300"/>
        </w:tabs>
        <w:snapToGrid w:val="0"/>
        <w:spacing w:line="500" w:lineRule="atLeast"/>
      </w:pPr>
    </w:p>
    <w:p>
      <w:pPr>
        <w:tabs>
          <w:tab w:val="left" w:pos="6300"/>
        </w:tabs>
        <w:snapToGrid w:val="0"/>
        <w:spacing w:line="360" w:lineRule="auto"/>
        <w:ind w:firstLine="747" w:firstLineChars="267"/>
      </w:pPr>
      <w:r>
        <w:rPr>
          <w:rFonts w:hint="eastAsia" w:cs="宋体"/>
        </w:rPr>
        <w:t>（法定代表人姓名）在（竞争人名称）任（职务名称）职务，是</w:t>
      </w:r>
      <w:r>
        <w:t>_____</w:t>
      </w:r>
      <w:r>
        <w:rPr>
          <w:rFonts w:hint="eastAsia" w:cs="宋体"/>
        </w:rPr>
        <w:t>（竞争人名称）的法定代表人。</w:t>
      </w:r>
    </w:p>
    <w:p>
      <w:pPr>
        <w:tabs>
          <w:tab w:val="left" w:pos="6300"/>
        </w:tabs>
        <w:snapToGrid w:val="0"/>
        <w:spacing w:line="500" w:lineRule="atLeast"/>
        <w:ind w:firstLine="573"/>
      </w:pPr>
    </w:p>
    <w:p>
      <w:pPr>
        <w:tabs>
          <w:tab w:val="left" w:pos="6300"/>
        </w:tabs>
        <w:snapToGrid w:val="0"/>
        <w:spacing w:line="500" w:lineRule="atLeast"/>
        <w:ind w:firstLine="573"/>
        <w:outlineLvl w:val="0"/>
      </w:pPr>
      <w:r>
        <w:rPr>
          <w:rFonts w:hint="eastAsia" w:cs="宋体"/>
        </w:rPr>
        <w:t>特此证明。</w:t>
      </w: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60" w:lineRule="atLeast"/>
        <w:outlineLvl w:val="0"/>
      </w:pPr>
      <w:r>
        <w:rPr>
          <w:rFonts w:hint="eastAsia" w:cs="宋体"/>
        </w:rPr>
        <w:t>（竞争人全称）</w:t>
      </w:r>
    </w:p>
    <w:p>
      <w:pPr>
        <w:tabs>
          <w:tab w:val="left" w:pos="6300"/>
        </w:tabs>
        <w:snapToGrid w:val="0"/>
        <w:spacing w:line="460" w:lineRule="atLeast"/>
      </w:pPr>
      <w:r>
        <w:rPr>
          <w:rFonts w:hint="eastAsia" w:cs="宋体"/>
        </w:rPr>
        <w:t>年月日</w:t>
      </w:r>
    </w:p>
    <w:p>
      <w:pPr>
        <w:tabs>
          <w:tab w:val="left" w:pos="6300"/>
        </w:tabs>
        <w:snapToGrid w:val="0"/>
        <w:spacing w:line="460" w:lineRule="atLeast"/>
      </w:pPr>
      <w:r>
        <w:rPr>
          <w:rFonts w:hint="eastAsia" w:cs="宋体"/>
        </w:rPr>
        <w:t>（公章）</w:t>
      </w: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60" w:lineRule="atLeast"/>
      </w:pPr>
      <w:r>
        <w:rPr>
          <w:rFonts w:hint="eastAsia" w:cs="宋体"/>
        </w:rPr>
        <w:t>附：上述法定代表人住址：</w:t>
      </w:r>
    </w:p>
    <w:p>
      <w:pPr>
        <w:tabs>
          <w:tab w:val="left" w:pos="6300"/>
        </w:tabs>
        <w:snapToGrid w:val="0"/>
        <w:spacing w:line="460" w:lineRule="atLeast"/>
      </w:pPr>
      <w:r>
        <w:rPr>
          <w:rFonts w:hint="eastAsia" w:cs="宋体"/>
        </w:rPr>
        <w:t>身份证号码：</w:t>
      </w:r>
    </w:p>
    <w:p>
      <w:pPr>
        <w:tabs>
          <w:tab w:val="left" w:pos="6300"/>
        </w:tabs>
        <w:snapToGrid w:val="0"/>
        <w:spacing w:line="460" w:lineRule="atLeast"/>
      </w:pPr>
      <w:r>
        <w:rPr>
          <w:rFonts w:hint="eastAsia" w:cs="宋体"/>
        </w:rPr>
        <w:t>电传：</w:t>
      </w:r>
    </w:p>
    <w:p>
      <w:pPr>
        <w:tabs>
          <w:tab w:val="left" w:pos="6300"/>
        </w:tabs>
        <w:snapToGrid w:val="0"/>
        <w:spacing w:line="460" w:lineRule="atLeast"/>
      </w:pPr>
      <w:r>
        <w:rPr>
          <w:rFonts w:hint="eastAsia" w:cs="宋体"/>
        </w:rPr>
        <w:t>网址：</w:t>
      </w:r>
    </w:p>
    <w:p>
      <w:pPr>
        <w:tabs>
          <w:tab w:val="left" w:pos="6300"/>
        </w:tabs>
        <w:snapToGrid w:val="0"/>
        <w:spacing w:line="460" w:lineRule="atLeast"/>
      </w:pPr>
      <w:r>
        <w:rPr>
          <w:rFonts w:hint="eastAsia" w:cs="宋体"/>
        </w:rPr>
        <w:t>邮政编码：</w:t>
      </w: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00" w:lineRule="atLeast"/>
      </w:pPr>
    </w:p>
    <w:p>
      <w:pPr>
        <w:tabs>
          <w:tab w:val="left" w:pos="6300"/>
        </w:tabs>
        <w:snapToGrid w:val="0"/>
        <w:spacing w:line="400" w:lineRule="atLeast"/>
      </w:pPr>
    </w:p>
    <w:p>
      <w:pPr>
        <w:snapToGrid w:val="0"/>
        <w:spacing w:line="360" w:lineRule="auto"/>
        <w:ind w:firstLine="560" w:firstLineChars="200"/>
        <w:rPr>
          <w:bdr w:val="single" w:color="000000" w:sz="4" w:space="0"/>
        </w:rPr>
        <w:sectPr>
          <w:pgSz w:w="11907" w:h="16840"/>
          <w:pgMar w:top="1440" w:right="1797" w:bottom="1440" w:left="1797" w:header="851" w:footer="992" w:gutter="0"/>
          <w:cols w:space="720" w:num="1"/>
          <w:docGrid w:type="lines" w:linePitch="380" w:charSpace="-5733"/>
        </w:sectPr>
      </w:pPr>
    </w:p>
    <w:p>
      <w:pPr>
        <w:pStyle w:val="5"/>
      </w:pPr>
      <w:r>
        <w:rPr>
          <w:rFonts w:hint="eastAsia" w:cs="黑体"/>
        </w:rPr>
        <w:t>附录</w:t>
      </w:r>
      <w:r>
        <w:t>4</w:t>
      </w:r>
    </w:p>
    <w:p>
      <w:pPr>
        <w:tabs>
          <w:tab w:val="left" w:pos="6300"/>
        </w:tabs>
        <w:snapToGrid w:val="0"/>
        <w:spacing w:line="400" w:lineRule="atLeast"/>
        <w:jc w:val="center"/>
        <w:outlineLvl w:val="0"/>
        <w:rPr>
          <w:rFonts w:eastAsia="黑体"/>
          <w:sz w:val="44"/>
          <w:szCs w:val="44"/>
        </w:rPr>
      </w:pPr>
      <w:r>
        <w:rPr>
          <w:rFonts w:hint="eastAsia" w:eastAsia="黑体" w:cs="黑体"/>
          <w:sz w:val="44"/>
          <w:szCs w:val="44"/>
        </w:rPr>
        <w:t>法定代表人授权委托书（格式）</w:t>
      </w:r>
    </w:p>
    <w:p>
      <w:pPr>
        <w:pStyle w:val="16"/>
        <w:tabs>
          <w:tab w:val="left" w:pos="6300"/>
        </w:tabs>
        <w:snapToGrid w:val="0"/>
        <w:spacing w:line="400" w:lineRule="atLeast"/>
      </w:pPr>
    </w:p>
    <w:p>
      <w:pPr>
        <w:tabs>
          <w:tab w:val="left" w:pos="6300"/>
        </w:tabs>
        <w:snapToGrid w:val="0"/>
        <w:spacing w:line="600" w:lineRule="atLeast"/>
      </w:pPr>
      <w:r>
        <w:rPr>
          <w:rFonts w:hint="eastAsia" w:cs="宋体"/>
        </w:rPr>
        <w:t>项目名称：</w:t>
      </w:r>
      <w:r>
        <w:t>_______________</w:t>
      </w:r>
    </w:p>
    <w:p>
      <w:pPr>
        <w:tabs>
          <w:tab w:val="left" w:pos="6300"/>
        </w:tabs>
        <w:snapToGrid w:val="0"/>
        <w:spacing w:line="600" w:lineRule="atLeast"/>
      </w:pPr>
      <w:r>
        <w:rPr>
          <w:rFonts w:hint="eastAsia" w:cs="宋体"/>
        </w:rPr>
        <w:t>日期：</w:t>
      </w:r>
      <w:r>
        <w:t>_______________</w:t>
      </w:r>
    </w:p>
    <w:p>
      <w:pPr>
        <w:tabs>
          <w:tab w:val="left" w:pos="6300"/>
        </w:tabs>
        <w:snapToGrid w:val="0"/>
        <w:spacing w:line="600" w:lineRule="atLeast"/>
        <w:rPr>
          <w:u w:val="single"/>
        </w:rPr>
      </w:pPr>
      <w:r>
        <w:rPr>
          <w:rFonts w:hint="eastAsia" w:cs="宋体"/>
        </w:rPr>
        <w:t>致：</w:t>
      </w:r>
      <w:r>
        <w:rPr>
          <w:u w:val="single"/>
        </w:rPr>
        <w:t>__</w:t>
      </w:r>
      <w:r>
        <w:rPr>
          <w:rFonts w:hint="eastAsia" w:cs="宋体"/>
          <w:u w:val="single"/>
        </w:rPr>
        <w:t>西南大学</w:t>
      </w:r>
      <w:r>
        <w:rPr>
          <w:u w:val="single"/>
        </w:rPr>
        <w:t xml:space="preserve">___________ </w:t>
      </w:r>
    </w:p>
    <w:p>
      <w:pPr>
        <w:tabs>
          <w:tab w:val="left" w:pos="6300"/>
        </w:tabs>
        <w:snapToGrid w:val="0"/>
        <w:spacing w:line="600" w:lineRule="atLeast"/>
        <w:ind w:firstLine="555"/>
      </w:pPr>
      <w:r>
        <w:t>_____________________</w:t>
      </w:r>
      <w:r>
        <w:rPr>
          <w:rFonts w:hint="eastAsia" w:cs="宋体"/>
        </w:rPr>
        <w:t>（竞争人名称）是中华人民共和国合法企业，法定地址</w:t>
      </w:r>
      <w:r>
        <w:t>______________________________</w:t>
      </w:r>
      <w:r>
        <w:rPr>
          <w:rFonts w:hint="eastAsia" w:cs="宋体"/>
        </w:rPr>
        <w:t>。</w:t>
      </w:r>
    </w:p>
    <w:p>
      <w:pPr>
        <w:tabs>
          <w:tab w:val="left" w:pos="6300"/>
        </w:tabs>
        <w:snapToGrid w:val="0"/>
        <w:spacing w:line="600" w:lineRule="atLeast"/>
        <w:ind w:firstLine="555"/>
      </w:pPr>
      <w:r>
        <w:t xml:space="preserve"> _________</w:t>
      </w:r>
      <w:r>
        <w:rPr>
          <w:rFonts w:hint="eastAsia" w:cs="宋体"/>
        </w:rPr>
        <w:t>（竞争人法定代表人姓名）特授权</w:t>
      </w:r>
      <w:r>
        <w:t>_________</w:t>
      </w:r>
      <w:r>
        <w:rPr>
          <w:rFonts w:hint="eastAsia" w:cs="宋体"/>
        </w:rPr>
        <w:t>（被授权人姓名及身份证代码）代表我单位全权办理对上述项目的询比、签约等具体工作，并签署全部有关的文件、协议及合同。</w:t>
      </w:r>
    </w:p>
    <w:p>
      <w:pPr>
        <w:tabs>
          <w:tab w:val="left" w:pos="6300"/>
        </w:tabs>
        <w:snapToGrid w:val="0"/>
        <w:spacing w:line="600" w:lineRule="atLeast"/>
        <w:ind w:firstLine="555"/>
      </w:pPr>
      <w:r>
        <w:rPr>
          <w:rFonts w:hint="eastAsia" w:cs="宋体"/>
        </w:rPr>
        <w:t>我单位对被授权人的签名负全部责任。</w:t>
      </w:r>
    </w:p>
    <w:p>
      <w:pPr>
        <w:tabs>
          <w:tab w:val="left" w:pos="6300"/>
        </w:tabs>
        <w:snapToGrid w:val="0"/>
        <w:spacing w:line="600" w:lineRule="atLeast"/>
        <w:ind w:firstLine="555"/>
      </w:pPr>
      <w:r>
        <w:rPr>
          <w:rFonts w:hint="eastAsia" w:cs="宋体"/>
        </w:rPr>
        <w:t>在撤消授权的书面通知以前，本授权书一直有效。被授权人签署的所有文件（在授权书有效期内签署的）不因授权的撤消而失效。</w:t>
      </w:r>
    </w:p>
    <w:p>
      <w:pPr>
        <w:tabs>
          <w:tab w:val="left" w:pos="6300"/>
        </w:tabs>
        <w:snapToGrid w:val="0"/>
        <w:spacing w:line="600" w:lineRule="atLeast"/>
      </w:pPr>
    </w:p>
    <w:p>
      <w:pPr>
        <w:tabs>
          <w:tab w:val="left" w:pos="6300"/>
        </w:tabs>
        <w:snapToGrid w:val="0"/>
        <w:spacing w:line="600" w:lineRule="atLeast"/>
      </w:pPr>
    </w:p>
    <w:p>
      <w:pPr>
        <w:tabs>
          <w:tab w:val="left" w:pos="6300"/>
        </w:tabs>
        <w:snapToGrid w:val="0"/>
        <w:spacing w:line="600" w:lineRule="atLeast"/>
      </w:pPr>
      <w:r>
        <w:rPr>
          <w:rFonts w:hint="eastAsia" w:cs="宋体"/>
        </w:rPr>
        <w:t>被授权人签名：法定代表人签名：</w:t>
      </w:r>
    </w:p>
    <w:p>
      <w:pPr>
        <w:tabs>
          <w:tab w:val="left" w:pos="6300"/>
        </w:tabs>
        <w:snapToGrid w:val="0"/>
        <w:spacing w:line="600" w:lineRule="atLeast"/>
      </w:pPr>
      <w:r>
        <w:rPr>
          <w:rFonts w:hint="eastAsia" w:cs="宋体"/>
        </w:rPr>
        <w:t>职务：职务：</w:t>
      </w:r>
    </w:p>
    <w:p>
      <w:pPr>
        <w:tabs>
          <w:tab w:val="left" w:pos="6300"/>
        </w:tabs>
        <w:snapToGrid w:val="0"/>
        <w:spacing w:line="600" w:lineRule="atLeast"/>
      </w:pPr>
    </w:p>
    <w:p>
      <w:pPr>
        <w:tabs>
          <w:tab w:val="left" w:pos="6300"/>
        </w:tabs>
        <w:snapToGrid w:val="0"/>
        <w:spacing w:line="600" w:lineRule="atLeast"/>
      </w:pPr>
    </w:p>
    <w:p>
      <w:pPr>
        <w:snapToGrid w:val="0"/>
        <w:spacing w:line="360" w:lineRule="auto"/>
      </w:pPr>
      <w:r>
        <w:rPr>
          <w:rFonts w:hint="eastAsia" w:cs="宋体"/>
        </w:rPr>
        <w:t>竞标人公章：</w:t>
      </w:r>
    </w:p>
    <w:p>
      <w:pPr>
        <w:snapToGrid w:val="0"/>
        <w:spacing w:line="360" w:lineRule="auto"/>
      </w:pPr>
    </w:p>
    <w:p>
      <w:pPr>
        <w:snapToGrid w:val="0"/>
        <w:spacing w:line="360" w:lineRule="auto"/>
      </w:pPr>
    </w:p>
    <w:p>
      <w:pPr>
        <w:snapToGrid w:val="0"/>
        <w:spacing w:line="360" w:lineRule="auto"/>
      </w:pPr>
    </w:p>
    <w:p>
      <w:pPr>
        <w:pStyle w:val="14"/>
        <w:rPr>
          <w:rStyle w:val="32"/>
          <w:rFonts w:cs="宋体"/>
        </w:rPr>
      </w:pPr>
      <w:r>
        <w:rPr>
          <w:rStyle w:val="32"/>
          <w:rFonts w:hint="eastAsia" w:cs="宋体"/>
        </w:rPr>
        <w:t>附录</w:t>
      </w:r>
      <w:r>
        <w:rPr>
          <w:rStyle w:val="32"/>
          <w:rFonts w:cs="宋体"/>
        </w:rPr>
        <w:t>5</w:t>
      </w:r>
    </w:p>
    <w:p>
      <w:pPr>
        <w:pStyle w:val="14"/>
        <w:rPr>
          <w:rStyle w:val="32"/>
          <w:rFonts w:cs="宋体"/>
        </w:rPr>
      </w:pPr>
    </w:p>
    <w:p>
      <w:pPr>
        <w:pStyle w:val="14"/>
        <w:jc w:val="center"/>
        <w:rPr>
          <w:rStyle w:val="32"/>
        </w:rPr>
      </w:pPr>
      <w:r>
        <w:rPr>
          <w:rStyle w:val="32"/>
          <w:rFonts w:hint="eastAsia" w:cs="宋体"/>
        </w:rPr>
        <w:t>技术规范偏离表</w:t>
      </w:r>
    </w:p>
    <w:p>
      <w:pPr>
        <w:pStyle w:val="14"/>
        <w:rPr>
          <w:rStyle w:val="32"/>
        </w:rPr>
      </w:pPr>
    </w:p>
    <w:p>
      <w:pPr>
        <w:pStyle w:val="14"/>
        <w:rPr>
          <w:rStyle w:val="32"/>
          <w:rFonts w:cs="宋体"/>
          <w:b w:val="0"/>
          <w:bCs w:val="0"/>
        </w:rPr>
      </w:pPr>
      <w:r>
        <w:rPr>
          <w:rStyle w:val="32"/>
          <w:rFonts w:hint="eastAsia" w:cs="宋体"/>
          <w:b w:val="0"/>
          <w:bCs w:val="0"/>
        </w:rPr>
        <w:t>询比项目名称：项目编号：</w:t>
      </w:r>
    </w:p>
    <w:tbl>
      <w:tblPr>
        <w:tblStyle w:val="30"/>
        <w:tblW w:w="9140"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3105"/>
        <w:gridCol w:w="2610"/>
        <w:gridCol w:w="2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965" w:type="dxa"/>
            <w:vAlign w:val="center"/>
          </w:tcPr>
          <w:p>
            <w:pPr>
              <w:pStyle w:val="14"/>
              <w:ind w:firstLine="0"/>
              <w:jc w:val="center"/>
              <w:rPr>
                <w:rStyle w:val="32"/>
                <w:b w:val="0"/>
                <w:bCs w:val="0"/>
                <w:sz w:val="21"/>
                <w:szCs w:val="21"/>
              </w:rPr>
            </w:pPr>
            <w:r>
              <w:rPr>
                <w:rStyle w:val="32"/>
                <w:rFonts w:hint="eastAsia" w:cs="宋体"/>
                <w:b w:val="0"/>
                <w:bCs w:val="0"/>
                <w:sz w:val="21"/>
                <w:szCs w:val="21"/>
              </w:rPr>
              <w:t>序号</w:t>
            </w:r>
          </w:p>
        </w:tc>
        <w:tc>
          <w:tcPr>
            <w:tcW w:w="3105" w:type="dxa"/>
            <w:vAlign w:val="center"/>
          </w:tcPr>
          <w:p>
            <w:pPr>
              <w:pStyle w:val="14"/>
              <w:ind w:firstLine="0"/>
              <w:jc w:val="center"/>
              <w:rPr>
                <w:rStyle w:val="32"/>
                <w:b w:val="0"/>
                <w:bCs w:val="0"/>
                <w:sz w:val="21"/>
                <w:szCs w:val="21"/>
              </w:rPr>
            </w:pPr>
            <w:r>
              <w:rPr>
                <w:rStyle w:val="32"/>
                <w:rFonts w:hint="eastAsia" w:cs="宋体"/>
                <w:b w:val="0"/>
                <w:bCs w:val="0"/>
                <w:sz w:val="21"/>
                <w:szCs w:val="21"/>
              </w:rPr>
              <w:t>询比文件技术要求</w:t>
            </w:r>
          </w:p>
        </w:tc>
        <w:tc>
          <w:tcPr>
            <w:tcW w:w="2610" w:type="dxa"/>
            <w:vAlign w:val="center"/>
          </w:tcPr>
          <w:p>
            <w:pPr>
              <w:pStyle w:val="14"/>
              <w:spacing w:line="380" w:lineRule="exact"/>
              <w:ind w:firstLine="0"/>
              <w:jc w:val="center"/>
              <w:rPr>
                <w:rStyle w:val="32"/>
                <w:b w:val="0"/>
                <w:bCs w:val="0"/>
                <w:sz w:val="21"/>
                <w:szCs w:val="21"/>
              </w:rPr>
            </w:pPr>
            <w:r>
              <w:rPr>
                <w:rStyle w:val="32"/>
                <w:rFonts w:hint="eastAsia" w:cs="宋体"/>
                <w:b w:val="0"/>
                <w:bCs w:val="0"/>
                <w:sz w:val="21"/>
                <w:szCs w:val="21"/>
              </w:rPr>
              <w:t>询比响应文件</w:t>
            </w:r>
          </w:p>
          <w:p>
            <w:pPr>
              <w:pStyle w:val="14"/>
              <w:spacing w:line="380" w:lineRule="exact"/>
              <w:ind w:firstLine="0"/>
              <w:jc w:val="center"/>
              <w:rPr>
                <w:rStyle w:val="32"/>
                <w:b w:val="0"/>
                <w:bCs w:val="0"/>
                <w:sz w:val="21"/>
                <w:szCs w:val="21"/>
              </w:rPr>
            </w:pPr>
            <w:r>
              <w:rPr>
                <w:rStyle w:val="32"/>
                <w:rFonts w:hint="eastAsia" w:cs="宋体"/>
                <w:b w:val="0"/>
                <w:bCs w:val="0"/>
                <w:sz w:val="21"/>
                <w:szCs w:val="21"/>
              </w:rPr>
              <w:t>对应技术参数</w:t>
            </w:r>
          </w:p>
        </w:tc>
        <w:tc>
          <w:tcPr>
            <w:tcW w:w="2460" w:type="dxa"/>
            <w:vAlign w:val="center"/>
          </w:tcPr>
          <w:p>
            <w:pPr>
              <w:pStyle w:val="14"/>
              <w:jc w:val="both"/>
              <w:rPr>
                <w:rStyle w:val="32"/>
                <w:b w:val="0"/>
                <w:bCs w:val="0"/>
                <w:sz w:val="21"/>
                <w:szCs w:val="21"/>
              </w:rPr>
            </w:pPr>
            <w:r>
              <w:rPr>
                <w:rStyle w:val="32"/>
                <w:rFonts w:hint="eastAsia" w:cs="宋体"/>
                <w:b w:val="0"/>
                <w:bCs w:val="0"/>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965" w:type="dxa"/>
          </w:tcPr>
          <w:p>
            <w:pPr>
              <w:pStyle w:val="14"/>
              <w:rPr>
                <w:rStyle w:val="32"/>
              </w:rPr>
            </w:pPr>
          </w:p>
        </w:tc>
        <w:tc>
          <w:tcPr>
            <w:tcW w:w="3105" w:type="dxa"/>
          </w:tcPr>
          <w:p>
            <w:pPr>
              <w:pStyle w:val="14"/>
              <w:rPr>
                <w:rStyle w:val="32"/>
              </w:rPr>
            </w:pPr>
          </w:p>
        </w:tc>
        <w:tc>
          <w:tcPr>
            <w:tcW w:w="2610" w:type="dxa"/>
          </w:tcPr>
          <w:p>
            <w:pPr>
              <w:pStyle w:val="14"/>
              <w:rPr>
                <w:rStyle w:val="32"/>
              </w:rPr>
            </w:pPr>
          </w:p>
        </w:tc>
        <w:tc>
          <w:tcPr>
            <w:tcW w:w="2460" w:type="dxa"/>
          </w:tcPr>
          <w:p>
            <w:pPr>
              <w:pStyle w:val="14"/>
              <w:rPr>
                <w:rStyle w:val="32"/>
              </w:rPr>
            </w:pPr>
          </w:p>
        </w:tc>
      </w:tr>
    </w:tbl>
    <w:p>
      <w:pPr>
        <w:pStyle w:val="14"/>
        <w:rPr>
          <w:rStyle w:val="32"/>
        </w:rPr>
      </w:pPr>
    </w:p>
    <w:p>
      <w:pPr>
        <w:pStyle w:val="14"/>
        <w:rPr>
          <w:rStyle w:val="32"/>
          <w:b w:val="0"/>
          <w:bCs w:val="0"/>
        </w:rPr>
      </w:pPr>
    </w:p>
    <w:p>
      <w:pPr>
        <w:pStyle w:val="14"/>
        <w:rPr>
          <w:rStyle w:val="32"/>
          <w:b w:val="0"/>
          <w:bCs w:val="0"/>
        </w:rPr>
      </w:pPr>
      <w:r>
        <w:rPr>
          <w:rStyle w:val="32"/>
          <w:rFonts w:hint="eastAsia" w:cs="宋体"/>
          <w:b w:val="0"/>
          <w:bCs w:val="0"/>
        </w:rPr>
        <w:t>授权代表签字：</w:t>
      </w:r>
    </w:p>
    <w:p>
      <w:pPr>
        <w:pStyle w:val="14"/>
        <w:rPr>
          <w:rStyle w:val="32"/>
          <w:rFonts w:cs="宋体"/>
          <w:b w:val="0"/>
          <w:bCs w:val="0"/>
        </w:rPr>
      </w:pPr>
    </w:p>
    <w:p>
      <w:pPr>
        <w:pStyle w:val="14"/>
        <w:jc w:val="center"/>
        <w:rPr>
          <w:rStyle w:val="32"/>
          <w:b w:val="0"/>
          <w:bCs w:val="0"/>
        </w:rPr>
      </w:pPr>
      <w:r>
        <w:rPr>
          <w:rStyle w:val="32"/>
          <w:rFonts w:hint="eastAsia" w:cs="宋体"/>
          <w:b w:val="0"/>
          <w:bCs w:val="0"/>
        </w:rPr>
        <w:t>年月日</w:t>
      </w:r>
    </w:p>
    <w:p>
      <w:pPr>
        <w:pStyle w:val="14"/>
        <w:rPr>
          <w:rStyle w:val="32"/>
          <w:rFonts w:cs="宋体"/>
        </w:rPr>
      </w:pPr>
      <w:r>
        <w:rPr>
          <w:rStyle w:val="32"/>
        </w:rPr>
        <w:br w:type="page"/>
      </w:r>
      <w:r>
        <w:rPr>
          <w:rStyle w:val="32"/>
          <w:rFonts w:hint="eastAsia" w:cs="宋体"/>
        </w:rPr>
        <w:t>附录</w:t>
      </w:r>
      <w:r>
        <w:rPr>
          <w:rStyle w:val="32"/>
          <w:rFonts w:cs="宋体"/>
        </w:rPr>
        <w:t>6</w:t>
      </w:r>
    </w:p>
    <w:p>
      <w:pPr>
        <w:pStyle w:val="14"/>
        <w:jc w:val="center"/>
        <w:rPr>
          <w:rStyle w:val="32"/>
        </w:rPr>
      </w:pPr>
      <w:r>
        <w:rPr>
          <w:rStyle w:val="32"/>
          <w:rFonts w:hint="eastAsia" w:cs="宋体"/>
        </w:rPr>
        <w:t>商务条款偏离表</w:t>
      </w:r>
    </w:p>
    <w:p>
      <w:pPr>
        <w:pStyle w:val="14"/>
        <w:rPr>
          <w:rStyle w:val="32"/>
        </w:rPr>
      </w:pPr>
    </w:p>
    <w:p>
      <w:pPr>
        <w:pStyle w:val="14"/>
        <w:rPr>
          <w:rStyle w:val="32"/>
          <w:rFonts w:cs="宋体"/>
          <w:b w:val="0"/>
          <w:bCs w:val="0"/>
        </w:rPr>
      </w:pPr>
      <w:r>
        <w:rPr>
          <w:rStyle w:val="32"/>
          <w:rFonts w:hint="eastAsia" w:cs="宋体"/>
          <w:b w:val="0"/>
          <w:bCs w:val="0"/>
        </w:rPr>
        <w:t>询比项目名称：    项目编号：</w:t>
      </w:r>
    </w:p>
    <w:tbl>
      <w:tblPr>
        <w:tblStyle w:val="30"/>
        <w:tblW w:w="9688"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1992"/>
        <w:gridCol w:w="2199"/>
        <w:gridCol w:w="2626"/>
        <w:gridCol w:w="19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965" w:type="dxa"/>
            <w:vAlign w:val="center"/>
          </w:tcPr>
          <w:p>
            <w:pPr>
              <w:pStyle w:val="14"/>
              <w:ind w:firstLine="0"/>
              <w:rPr>
                <w:rStyle w:val="32"/>
                <w:b w:val="0"/>
                <w:bCs w:val="0"/>
                <w:sz w:val="21"/>
                <w:szCs w:val="21"/>
              </w:rPr>
            </w:pPr>
            <w:r>
              <w:rPr>
                <w:rStyle w:val="32"/>
                <w:rFonts w:hint="eastAsia" w:cs="宋体"/>
                <w:b w:val="0"/>
                <w:bCs w:val="0"/>
                <w:sz w:val="21"/>
                <w:szCs w:val="21"/>
              </w:rPr>
              <w:t>序号</w:t>
            </w:r>
          </w:p>
        </w:tc>
        <w:tc>
          <w:tcPr>
            <w:tcW w:w="1992" w:type="dxa"/>
            <w:vAlign w:val="center"/>
          </w:tcPr>
          <w:p>
            <w:pPr>
              <w:pStyle w:val="14"/>
              <w:ind w:firstLine="0"/>
              <w:rPr>
                <w:rStyle w:val="32"/>
                <w:b w:val="0"/>
                <w:bCs w:val="0"/>
                <w:sz w:val="21"/>
                <w:szCs w:val="21"/>
              </w:rPr>
            </w:pPr>
            <w:r>
              <w:rPr>
                <w:rStyle w:val="32"/>
                <w:rFonts w:hint="eastAsia" w:cs="宋体"/>
                <w:b w:val="0"/>
                <w:bCs w:val="0"/>
                <w:sz w:val="21"/>
                <w:szCs w:val="21"/>
              </w:rPr>
              <w:t>询比文件条目号</w:t>
            </w:r>
          </w:p>
        </w:tc>
        <w:tc>
          <w:tcPr>
            <w:tcW w:w="2199" w:type="dxa"/>
            <w:vAlign w:val="center"/>
          </w:tcPr>
          <w:p>
            <w:pPr>
              <w:pStyle w:val="14"/>
              <w:ind w:firstLine="0"/>
              <w:rPr>
                <w:rStyle w:val="32"/>
                <w:b w:val="0"/>
                <w:bCs w:val="0"/>
                <w:sz w:val="21"/>
                <w:szCs w:val="21"/>
              </w:rPr>
            </w:pPr>
            <w:r>
              <w:rPr>
                <w:rStyle w:val="32"/>
                <w:rFonts w:hint="eastAsia" w:cs="宋体"/>
                <w:b w:val="0"/>
                <w:bCs w:val="0"/>
                <w:sz w:val="21"/>
                <w:szCs w:val="21"/>
              </w:rPr>
              <w:t>询比文件商务条款</w:t>
            </w:r>
          </w:p>
        </w:tc>
        <w:tc>
          <w:tcPr>
            <w:tcW w:w="2626" w:type="dxa"/>
            <w:vAlign w:val="center"/>
          </w:tcPr>
          <w:p>
            <w:pPr>
              <w:pStyle w:val="14"/>
              <w:spacing w:line="360" w:lineRule="exact"/>
              <w:ind w:firstLine="0"/>
              <w:jc w:val="center"/>
              <w:rPr>
                <w:rStyle w:val="32"/>
                <w:b w:val="0"/>
                <w:bCs w:val="0"/>
                <w:sz w:val="21"/>
                <w:szCs w:val="21"/>
              </w:rPr>
            </w:pPr>
            <w:r>
              <w:rPr>
                <w:rStyle w:val="32"/>
                <w:rFonts w:hint="eastAsia" w:cs="宋体"/>
                <w:b w:val="0"/>
                <w:bCs w:val="0"/>
                <w:sz w:val="21"/>
                <w:szCs w:val="21"/>
              </w:rPr>
              <w:t>询比响应文件</w:t>
            </w:r>
          </w:p>
          <w:p>
            <w:pPr>
              <w:pStyle w:val="14"/>
              <w:spacing w:line="360" w:lineRule="exact"/>
              <w:ind w:firstLine="0"/>
              <w:jc w:val="center"/>
              <w:rPr>
                <w:rStyle w:val="32"/>
                <w:b w:val="0"/>
                <w:bCs w:val="0"/>
                <w:sz w:val="21"/>
                <w:szCs w:val="21"/>
              </w:rPr>
            </w:pPr>
            <w:r>
              <w:rPr>
                <w:rStyle w:val="32"/>
                <w:rFonts w:hint="eastAsia" w:cs="宋体"/>
                <w:b w:val="0"/>
                <w:bCs w:val="0"/>
                <w:sz w:val="21"/>
                <w:szCs w:val="21"/>
              </w:rPr>
              <w:t>对应商务条款</w:t>
            </w:r>
          </w:p>
        </w:tc>
        <w:tc>
          <w:tcPr>
            <w:tcW w:w="1906" w:type="dxa"/>
            <w:vAlign w:val="center"/>
          </w:tcPr>
          <w:p>
            <w:pPr>
              <w:pStyle w:val="14"/>
              <w:rPr>
                <w:rStyle w:val="32"/>
                <w:b w:val="0"/>
                <w:bCs w:val="0"/>
                <w:sz w:val="21"/>
                <w:szCs w:val="21"/>
              </w:rPr>
            </w:pPr>
            <w:r>
              <w:rPr>
                <w:rStyle w:val="32"/>
                <w:rFonts w:hint="eastAsia" w:cs="宋体"/>
                <w:b w:val="0"/>
                <w:bCs w:val="0"/>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spacing w:line="360" w:lineRule="exact"/>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5" w:type="dxa"/>
            <w:vAlign w:val="center"/>
          </w:tcPr>
          <w:p>
            <w:pPr>
              <w:pStyle w:val="14"/>
              <w:rPr>
                <w:rStyle w:val="32"/>
              </w:rPr>
            </w:pPr>
          </w:p>
        </w:tc>
        <w:tc>
          <w:tcPr>
            <w:tcW w:w="1992" w:type="dxa"/>
            <w:vAlign w:val="center"/>
          </w:tcPr>
          <w:p>
            <w:pPr>
              <w:pStyle w:val="14"/>
              <w:rPr>
                <w:rStyle w:val="32"/>
              </w:rPr>
            </w:pPr>
          </w:p>
        </w:tc>
        <w:tc>
          <w:tcPr>
            <w:tcW w:w="2199" w:type="dxa"/>
            <w:vAlign w:val="center"/>
          </w:tcPr>
          <w:p>
            <w:pPr>
              <w:pStyle w:val="14"/>
              <w:rPr>
                <w:rStyle w:val="32"/>
              </w:rPr>
            </w:pPr>
          </w:p>
        </w:tc>
        <w:tc>
          <w:tcPr>
            <w:tcW w:w="2626" w:type="dxa"/>
            <w:vAlign w:val="center"/>
          </w:tcPr>
          <w:p>
            <w:pPr>
              <w:pStyle w:val="14"/>
              <w:rPr>
                <w:rStyle w:val="32"/>
              </w:rPr>
            </w:pPr>
          </w:p>
        </w:tc>
        <w:tc>
          <w:tcPr>
            <w:tcW w:w="1906" w:type="dxa"/>
            <w:vAlign w:val="center"/>
          </w:tcPr>
          <w:p>
            <w:pPr>
              <w:pStyle w:val="14"/>
              <w:rPr>
                <w:rStyle w:val="32"/>
              </w:rPr>
            </w:pPr>
          </w:p>
        </w:tc>
      </w:tr>
    </w:tbl>
    <w:p>
      <w:pPr>
        <w:pStyle w:val="14"/>
        <w:rPr>
          <w:rStyle w:val="32"/>
        </w:rPr>
      </w:pPr>
    </w:p>
    <w:p>
      <w:pPr>
        <w:pStyle w:val="14"/>
        <w:rPr>
          <w:rStyle w:val="32"/>
        </w:rPr>
      </w:pPr>
    </w:p>
    <w:p>
      <w:pPr>
        <w:pStyle w:val="14"/>
        <w:rPr>
          <w:rStyle w:val="32"/>
          <w:rFonts w:cs="宋体"/>
          <w:b w:val="0"/>
          <w:bCs w:val="0"/>
        </w:rPr>
      </w:pPr>
      <w:r>
        <w:rPr>
          <w:rStyle w:val="32"/>
          <w:rFonts w:hint="eastAsia" w:cs="宋体"/>
          <w:b w:val="0"/>
          <w:bCs w:val="0"/>
        </w:rPr>
        <w:t>授权代表签字</w:t>
      </w:r>
    </w:p>
    <w:p>
      <w:pPr>
        <w:pStyle w:val="14"/>
        <w:rPr>
          <w:rStyle w:val="32"/>
          <w:rFonts w:cs="宋体"/>
          <w:b w:val="0"/>
          <w:bCs w:val="0"/>
        </w:rPr>
      </w:pPr>
    </w:p>
    <w:p>
      <w:pPr>
        <w:pStyle w:val="14"/>
        <w:ind w:firstLine="5857" w:firstLineChars="2092"/>
        <w:rPr>
          <w:rStyle w:val="32"/>
          <w:b w:val="0"/>
          <w:bCs w:val="0"/>
        </w:rPr>
        <w:sectPr>
          <w:footerReference r:id="rId10" w:type="default"/>
          <w:pgSz w:w="11906" w:h="16838"/>
          <w:pgMar w:top="1400" w:right="1616" w:bottom="936" w:left="1134" w:header="851" w:footer="992" w:gutter="0"/>
          <w:pgNumType w:fmt="numberInDash"/>
          <w:cols w:space="720" w:num="1"/>
          <w:docGrid w:linePitch="312" w:charSpace="0"/>
        </w:sectPr>
      </w:pPr>
      <w:r>
        <w:rPr>
          <w:rStyle w:val="32"/>
          <w:rFonts w:hint="eastAsia" w:cs="宋体"/>
          <w:b w:val="0"/>
          <w:bCs w:val="0"/>
        </w:rPr>
        <w:t>年月日</w:t>
      </w:r>
    </w:p>
    <w:p>
      <w:pPr>
        <w:pStyle w:val="14"/>
        <w:rPr>
          <w:rStyle w:val="32"/>
          <w:rFonts w:cs="宋体"/>
        </w:rPr>
      </w:pPr>
      <w:r>
        <w:rPr>
          <w:rStyle w:val="32"/>
          <w:rFonts w:hint="eastAsia" w:cs="宋体"/>
        </w:rPr>
        <w:t>附录</w:t>
      </w:r>
      <w:r>
        <w:rPr>
          <w:rStyle w:val="32"/>
          <w:rFonts w:cs="宋体"/>
        </w:rPr>
        <w:t>7</w:t>
      </w:r>
    </w:p>
    <w:p>
      <w:pPr>
        <w:jc w:val="center"/>
        <w:rPr>
          <w:rFonts w:ascii="黑体" w:hAnsi="黑体" w:eastAsia="黑体"/>
          <w:b/>
          <w:sz w:val="32"/>
          <w:szCs w:val="32"/>
        </w:rPr>
      </w:pPr>
      <w:r>
        <w:rPr>
          <w:rFonts w:hint="eastAsia" w:ascii="黑体" w:hAnsi="黑体" w:eastAsia="黑体"/>
          <w:b/>
          <w:sz w:val="32"/>
          <w:szCs w:val="32"/>
        </w:rPr>
        <w:t>西南大学设备采购清单</w:t>
      </w:r>
    </w:p>
    <w:p>
      <w:pPr>
        <w:jc w:val="left"/>
        <w:rPr>
          <w:rFonts w:asciiTheme="minorEastAsia" w:hAnsiTheme="minorEastAsia" w:eastAsiaTheme="minorEastAsia"/>
        </w:rPr>
      </w:pPr>
      <w:r>
        <w:rPr>
          <w:rFonts w:hint="eastAsia" w:asciiTheme="minorEastAsia" w:hAnsiTheme="minorEastAsia" w:eastAsiaTheme="minorEastAsia"/>
        </w:rPr>
        <w:t>一、项目背景</w:t>
      </w:r>
    </w:p>
    <w:p>
      <w:pPr>
        <w:jc w:val="left"/>
        <w:rPr>
          <w:rFonts w:asciiTheme="minorEastAsia" w:hAnsiTheme="minorEastAsia" w:eastAsiaTheme="minorEastAsia"/>
        </w:rPr>
      </w:pPr>
      <w:r>
        <w:rPr>
          <w:rFonts w:hint="eastAsia" w:asciiTheme="minorEastAsia" w:hAnsiTheme="minorEastAsia" w:eastAsiaTheme="minorEastAsia"/>
        </w:rPr>
        <w:t>西南大学档案馆现有的3</w:t>
      </w:r>
      <w:r>
        <w:rPr>
          <w:rFonts w:asciiTheme="minorEastAsia" w:hAnsiTheme="minorEastAsia" w:eastAsiaTheme="minorEastAsia"/>
        </w:rPr>
        <w:t>0</w:t>
      </w:r>
      <w:r>
        <w:rPr>
          <w:rFonts w:hint="eastAsia" w:asciiTheme="minorEastAsia" w:hAnsiTheme="minorEastAsia" w:eastAsiaTheme="minorEastAsia"/>
        </w:rPr>
        <w:t>kVA UPS蓄电池组，是2</w:t>
      </w:r>
      <w:r>
        <w:rPr>
          <w:rFonts w:asciiTheme="minorEastAsia" w:hAnsiTheme="minorEastAsia" w:eastAsiaTheme="minorEastAsia"/>
        </w:rPr>
        <w:t>016</w:t>
      </w:r>
      <w:r>
        <w:rPr>
          <w:rFonts w:hint="eastAsia" w:asciiTheme="minorEastAsia" w:hAnsiTheme="minorEastAsia" w:eastAsiaTheme="minorEastAsia"/>
        </w:rPr>
        <w:t>年采购的3</w:t>
      </w:r>
      <w:r>
        <w:rPr>
          <w:rFonts w:asciiTheme="minorEastAsia" w:hAnsiTheme="minorEastAsia" w:eastAsiaTheme="minorEastAsia"/>
        </w:rPr>
        <w:t>2</w:t>
      </w:r>
      <w:r>
        <w:rPr>
          <w:rFonts w:hint="eastAsia" w:asciiTheme="minorEastAsia" w:hAnsiTheme="minorEastAsia" w:eastAsiaTheme="minorEastAsia"/>
        </w:rPr>
        <w:t>块维谛电池，为机房内负载供电。因使用时间较长，电池老化，急需更换。本次拟将原有超期服役蓄电池全部更换，并根据实际情况更换相关辅件，增加相关安全措施。</w:t>
      </w:r>
    </w:p>
    <w:p>
      <w:pPr>
        <w:jc w:val="left"/>
        <w:rPr>
          <w:rFonts w:asciiTheme="minorEastAsia" w:hAnsiTheme="minorEastAsia" w:eastAsiaTheme="minorEastAsia"/>
        </w:rPr>
      </w:pPr>
      <w:r>
        <w:rPr>
          <w:rFonts w:hint="eastAsia" w:asciiTheme="minorEastAsia" w:hAnsiTheme="minorEastAsia" w:eastAsiaTheme="minorEastAsia"/>
        </w:rPr>
        <w:t>二、项目目标</w:t>
      </w:r>
    </w:p>
    <w:p>
      <w:pPr>
        <w:jc w:val="left"/>
        <w:rPr>
          <w:rFonts w:asciiTheme="minorEastAsia" w:hAnsiTheme="minorEastAsia" w:eastAsiaTheme="minorEastAsia"/>
        </w:rPr>
      </w:pPr>
      <w:r>
        <w:rPr>
          <w:rFonts w:hint="eastAsia" w:asciiTheme="minorEastAsia" w:hAnsiTheme="minorEastAsia" w:eastAsiaTheme="minorEastAsia"/>
        </w:rPr>
        <w:t>1、负责拆除、搬移原有3</w:t>
      </w:r>
      <w:r>
        <w:rPr>
          <w:rFonts w:asciiTheme="minorEastAsia" w:hAnsiTheme="minorEastAsia" w:eastAsiaTheme="minorEastAsia"/>
        </w:rPr>
        <w:t>2</w:t>
      </w:r>
      <w:r>
        <w:rPr>
          <w:rFonts w:hint="eastAsia" w:asciiTheme="minorEastAsia" w:hAnsiTheme="minorEastAsia" w:eastAsiaTheme="minorEastAsia"/>
        </w:rPr>
        <w:t>只电池及线缆到指定地点；</w:t>
      </w:r>
    </w:p>
    <w:p>
      <w:pPr>
        <w:jc w:val="left"/>
        <w:rPr>
          <w:rFonts w:asciiTheme="minorEastAsia" w:hAnsiTheme="minorEastAsia" w:eastAsiaTheme="minorEastAsia"/>
        </w:rPr>
      </w:pPr>
      <w:r>
        <w:rPr>
          <w:rFonts w:hint="eastAsia" w:asciiTheme="minorEastAsia" w:hAnsiTheme="minorEastAsia" w:eastAsiaTheme="minorEastAsia"/>
        </w:rPr>
        <w:t>2、按期提供满足或优于指定参数的全新蓄电池4</w:t>
      </w:r>
      <w:r>
        <w:rPr>
          <w:rFonts w:asciiTheme="minorEastAsia" w:hAnsiTheme="minorEastAsia" w:eastAsiaTheme="minorEastAsia"/>
        </w:rPr>
        <w:t>0</w:t>
      </w:r>
      <w:r>
        <w:rPr>
          <w:rFonts w:hint="eastAsia" w:asciiTheme="minorEastAsia" w:hAnsiTheme="minorEastAsia" w:eastAsiaTheme="minorEastAsia"/>
        </w:rPr>
        <w:t>只到档案馆指定地点；</w:t>
      </w:r>
    </w:p>
    <w:p>
      <w:pPr>
        <w:jc w:val="left"/>
        <w:rPr>
          <w:rFonts w:asciiTheme="minorEastAsia" w:hAnsiTheme="minorEastAsia" w:eastAsiaTheme="minorEastAsia"/>
        </w:rPr>
      </w:pPr>
      <w:r>
        <w:rPr>
          <w:rFonts w:hint="eastAsia" w:asciiTheme="minorEastAsia" w:hAnsiTheme="minorEastAsia" w:eastAsiaTheme="minorEastAsia"/>
        </w:rPr>
        <w:t>3、全新蓄电池安装到位，并与原有主机配套调试，保证正常安全运行。</w:t>
      </w:r>
    </w:p>
    <w:p>
      <w:pPr>
        <w:jc w:val="left"/>
        <w:rPr>
          <w:rFonts w:asciiTheme="minorEastAsia" w:hAnsiTheme="minorEastAsia" w:eastAsiaTheme="minorEastAsia"/>
        </w:rPr>
      </w:pPr>
      <w:r>
        <w:rPr>
          <w:rFonts w:hint="eastAsia" w:asciiTheme="minorEastAsia" w:hAnsiTheme="minorEastAsia" w:eastAsiaTheme="minorEastAsia"/>
        </w:rPr>
        <w:t>4、提供相关配套材料，按期完工，接受核查验收。</w:t>
      </w:r>
    </w:p>
    <w:p>
      <w:pPr>
        <w:jc w:val="left"/>
        <w:rPr>
          <w:rFonts w:asciiTheme="minorEastAsia" w:hAnsiTheme="minorEastAsia" w:eastAsiaTheme="minorEastAsia"/>
        </w:rPr>
      </w:pPr>
      <w:r>
        <w:rPr>
          <w:rFonts w:hint="eastAsia" w:asciiTheme="minorEastAsia" w:hAnsiTheme="minorEastAsia" w:eastAsiaTheme="minorEastAsia"/>
        </w:rPr>
        <w:t>三.项目采购内容</w:t>
      </w:r>
    </w:p>
    <w:tbl>
      <w:tblPr>
        <w:tblStyle w:val="30"/>
        <w:tblW w:w="101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2106"/>
        <w:gridCol w:w="1134"/>
        <w:gridCol w:w="851"/>
        <w:gridCol w:w="1417"/>
        <w:gridCol w:w="1701"/>
        <w:gridCol w:w="2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序号</w:t>
            </w:r>
          </w:p>
        </w:tc>
        <w:tc>
          <w:tcPr>
            <w:tcW w:w="210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设备名称</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单位</w:t>
            </w:r>
          </w:p>
        </w:tc>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数量</w:t>
            </w:r>
          </w:p>
        </w:tc>
        <w:tc>
          <w:tcPr>
            <w:tcW w:w="1417"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bCs/>
              </w:rPr>
            </w:pPr>
            <w:r>
              <w:rPr>
                <w:rFonts w:ascii="宋体" w:hAnsi="宋体"/>
                <w:bCs/>
              </w:rPr>
              <w:t>预算</w:t>
            </w:r>
            <w:r>
              <w:rPr>
                <w:rFonts w:hint="eastAsia" w:ascii="宋体" w:hAnsi="宋体"/>
                <w:bCs/>
              </w:rPr>
              <w:t>单价</w:t>
            </w:r>
            <w:r>
              <w:rPr>
                <w:rFonts w:ascii="宋体" w:hAnsi="宋体"/>
                <w:bCs/>
              </w:rPr>
              <w:t>（元）</w:t>
            </w:r>
          </w:p>
        </w:tc>
        <w:tc>
          <w:tcPr>
            <w:tcW w:w="17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预算金额（万元）</w:t>
            </w:r>
          </w:p>
        </w:tc>
        <w:tc>
          <w:tcPr>
            <w:tcW w:w="204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主要技术指标</w:t>
            </w:r>
          </w:p>
          <w:p>
            <w:pPr>
              <w:ind w:firstLine="560" w:firstLineChars="200"/>
              <w:rPr>
                <w:rFonts w:ascii="宋体" w:hAnsi="宋体"/>
                <w:bCs/>
              </w:rPr>
            </w:pPr>
            <w:r>
              <w:rPr>
                <w:rFonts w:hint="eastAsia" w:ascii="宋体" w:hAnsi="宋体"/>
                <w:bCs/>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86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ascii="宋体" w:hAnsi="宋体"/>
                <w:bCs/>
              </w:rPr>
              <w:t>1</w:t>
            </w:r>
          </w:p>
        </w:tc>
        <w:tc>
          <w:tcPr>
            <w:tcW w:w="210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阀控式密封铅酸蓄电池</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只</w:t>
            </w:r>
          </w:p>
        </w:tc>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hint="eastAsia" w:ascii="宋体" w:hAnsi="宋体"/>
                <w:bCs/>
              </w:rPr>
              <w:t>4</w:t>
            </w:r>
            <w:r>
              <w:rPr>
                <w:rFonts w:ascii="宋体" w:hAnsi="宋体"/>
                <w:bCs/>
              </w:rPr>
              <w:t>0</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rPr>
            </w:pPr>
            <w:r>
              <w:rPr>
                <w:rFonts w:ascii="宋体" w:hAnsi="宋体"/>
                <w:bCs/>
              </w:rPr>
              <w:t>2875.00</w:t>
            </w:r>
          </w:p>
        </w:tc>
        <w:tc>
          <w:tcPr>
            <w:tcW w:w="1701" w:type="dxa"/>
            <w:tcBorders>
              <w:top w:val="single" w:color="auto" w:sz="4" w:space="0"/>
              <w:left w:val="single" w:color="auto" w:sz="4" w:space="0"/>
              <w:right w:val="single" w:color="auto" w:sz="4" w:space="0"/>
            </w:tcBorders>
            <w:vAlign w:val="center"/>
          </w:tcPr>
          <w:p>
            <w:pPr>
              <w:ind w:firstLine="280" w:firstLineChars="100"/>
              <w:rPr>
                <w:rFonts w:ascii="宋体" w:hAnsi="宋体"/>
                <w:bCs/>
              </w:rPr>
            </w:pPr>
            <w:r>
              <w:rPr>
                <w:rFonts w:hint="eastAsia" w:ascii="宋体" w:hAnsi="宋体"/>
                <w:bCs/>
              </w:rPr>
              <w:t>1</w:t>
            </w:r>
            <w:r>
              <w:rPr>
                <w:rFonts w:ascii="宋体" w:hAnsi="宋体"/>
                <w:bCs/>
              </w:rPr>
              <w:t>1.5</w:t>
            </w:r>
          </w:p>
        </w:tc>
        <w:tc>
          <w:tcPr>
            <w:tcW w:w="2046" w:type="dxa"/>
            <w:tcBorders>
              <w:top w:val="single" w:color="auto" w:sz="4" w:space="0"/>
              <w:left w:val="single" w:color="auto" w:sz="4" w:space="0"/>
              <w:right w:val="single" w:color="auto" w:sz="4" w:space="0"/>
            </w:tcBorders>
            <w:vAlign w:val="center"/>
          </w:tcPr>
          <w:p>
            <w:pPr>
              <w:ind w:firstLine="560" w:firstLineChars="200"/>
              <w:rPr>
                <w:rFonts w:ascii="宋体" w:hAnsi="宋体"/>
                <w:bCs/>
              </w:rPr>
            </w:pPr>
            <w:r>
              <w:rPr>
                <w:rFonts w:hint="eastAsia" w:ascii="宋体" w:hAnsi="宋体"/>
                <w:bCs/>
              </w:rPr>
              <w:t>见表后</w:t>
            </w:r>
          </w:p>
        </w:tc>
      </w:tr>
    </w:tbl>
    <w:p>
      <w:pPr>
        <w:jc w:val="left"/>
        <w:rPr>
          <w:rFonts w:asciiTheme="minorEastAsia" w:hAnsiTheme="minorEastAsia" w:eastAsiaTheme="minorEastAsia"/>
        </w:rPr>
      </w:pPr>
      <w:r>
        <w:rPr>
          <w:rFonts w:hint="eastAsia" w:asciiTheme="minorEastAsia" w:hAnsiTheme="minorEastAsia" w:eastAsiaTheme="minorEastAsia"/>
        </w:rPr>
        <w:t>四、电池主要技术指标要求</w:t>
      </w:r>
    </w:p>
    <w:p>
      <w:pPr>
        <w:jc w:val="left"/>
        <w:rPr>
          <w:rFonts w:asciiTheme="minorEastAsia" w:hAnsiTheme="minorEastAsia" w:eastAsiaTheme="minorEastAsia"/>
        </w:rPr>
      </w:pPr>
      <w:r>
        <w:rPr>
          <w:rFonts w:hint="eastAsia" w:asciiTheme="minorEastAsia" w:hAnsiTheme="minorEastAsia" w:eastAsiaTheme="minorEastAsia"/>
        </w:rPr>
        <w:t>额定电压：12V，额定容量：200Ah；蓄电池每月自放电率≤3%；</w:t>
      </w:r>
    </w:p>
    <w:p>
      <w:pPr>
        <w:jc w:val="left"/>
        <w:rPr>
          <w:rFonts w:asciiTheme="minorEastAsia" w:hAnsiTheme="minorEastAsia" w:eastAsiaTheme="minorEastAsia"/>
        </w:rPr>
      </w:pPr>
      <w:r>
        <w:rPr>
          <w:rFonts w:ascii="Arial" w:hAnsi="Arial" w:eastAsia="宋体" w:cs="Arial"/>
          <w:i w:val="0"/>
          <w:iCs w:val="0"/>
          <w:caps w:val="0"/>
          <w:color w:val="333333"/>
          <w:spacing w:val="0"/>
          <w:sz w:val="28"/>
          <w:szCs w:val="28"/>
          <w:shd w:val="clear" w:fill="FFFFFF"/>
        </w:rPr>
        <w:t>★</w:t>
      </w:r>
      <w:r>
        <w:rPr>
          <w:rFonts w:hint="eastAsia" w:asciiTheme="minorEastAsia" w:hAnsiTheme="minorEastAsia" w:eastAsiaTheme="minorEastAsia"/>
        </w:rPr>
        <w:t>采用10小时率铅酸阀式蓄电池；</w:t>
      </w:r>
    </w:p>
    <w:p>
      <w:pPr>
        <w:jc w:val="left"/>
        <w:rPr>
          <w:rFonts w:asciiTheme="minorEastAsia" w:hAnsiTheme="minorEastAsia" w:eastAsiaTheme="minorEastAsia"/>
        </w:rPr>
      </w:pPr>
      <w:r>
        <w:rPr>
          <w:rFonts w:ascii="Arial" w:hAnsi="Arial" w:eastAsia="宋体" w:cs="Arial"/>
          <w:i w:val="0"/>
          <w:iCs w:val="0"/>
          <w:caps w:val="0"/>
          <w:color w:val="333333"/>
          <w:spacing w:val="0"/>
          <w:sz w:val="28"/>
          <w:szCs w:val="28"/>
          <w:shd w:val="clear" w:fill="FFFFFF"/>
        </w:rPr>
        <w:t>★</w:t>
      </w:r>
      <w:r>
        <w:rPr>
          <w:rFonts w:hint="eastAsia" w:asciiTheme="minorEastAsia" w:hAnsiTheme="minorEastAsia" w:eastAsiaTheme="minorEastAsia"/>
        </w:rPr>
        <w:t>电池内阻：≤2.8mΩ，需要提供厂商产品彩页或泰尔检测报告做为佐证，并加盖鲜章。</w:t>
      </w:r>
    </w:p>
    <w:p>
      <w:pPr>
        <w:jc w:val="left"/>
        <w:rPr>
          <w:rFonts w:asciiTheme="minorEastAsia" w:hAnsiTheme="minorEastAsia" w:eastAsiaTheme="minorEastAsia"/>
        </w:rPr>
      </w:pPr>
      <w:r>
        <w:rPr>
          <w:rFonts w:ascii="Arial" w:hAnsi="Arial" w:eastAsia="宋体" w:cs="Arial"/>
          <w:i w:val="0"/>
          <w:iCs w:val="0"/>
          <w:caps w:val="0"/>
          <w:color w:val="333333"/>
          <w:spacing w:val="0"/>
          <w:sz w:val="28"/>
          <w:szCs w:val="28"/>
          <w:shd w:val="clear" w:fill="FFFFFF"/>
        </w:rPr>
        <w:t>★</w:t>
      </w:r>
      <w:r>
        <w:rPr>
          <w:rFonts w:hint="eastAsia" w:asciiTheme="minorEastAsia" w:hAnsiTheme="minorEastAsia" w:eastAsiaTheme="minorEastAsia"/>
        </w:rPr>
        <w:t>蓄电池具有很强的耐过充能力，完全充电后的电池以0.3I10A连续充电160h，外观无</w:t>
      </w:r>
      <w:bookmarkStart w:id="86" w:name="_GoBack"/>
      <w:bookmarkEnd w:id="86"/>
      <w:r>
        <w:rPr>
          <w:rFonts w:hint="eastAsia" w:asciiTheme="minorEastAsia" w:hAnsiTheme="minorEastAsia" w:eastAsiaTheme="minorEastAsia"/>
        </w:rPr>
        <w:t>变形、无漏液；蓄电池应有防爆性能，充电过程中遇明火，内部不引燃、不引爆。</w:t>
      </w:r>
    </w:p>
    <w:p>
      <w:pPr>
        <w:jc w:val="left"/>
        <w:rPr>
          <w:rFonts w:asciiTheme="minorEastAsia" w:hAnsiTheme="minorEastAsia" w:eastAsiaTheme="minorEastAsia"/>
        </w:rPr>
      </w:pPr>
      <w:r>
        <w:rPr>
          <w:rFonts w:hint="eastAsia" w:asciiTheme="minorEastAsia" w:hAnsiTheme="minorEastAsia" w:eastAsiaTheme="minorEastAsia"/>
        </w:rPr>
        <w:t>蓄电池应有良好的气密性，能承受50kPa的正压货负压而不破裂、不开胶，压力释放后壳体无残余变形；</w:t>
      </w:r>
    </w:p>
    <w:p>
      <w:pPr>
        <w:jc w:val="left"/>
        <w:rPr>
          <w:rFonts w:asciiTheme="minorEastAsia" w:hAnsiTheme="minorEastAsia" w:eastAsiaTheme="minorEastAsia"/>
        </w:rPr>
      </w:pPr>
      <w:r>
        <w:rPr>
          <w:rFonts w:hint="eastAsia" w:asciiTheme="minorEastAsia" w:hAnsiTheme="minorEastAsia" w:eastAsiaTheme="minorEastAsia"/>
        </w:rPr>
        <w:t>外壳材料采用UL94-V0级全阻燃外壳；</w:t>
      </w:r>
    </w:p>
    <w:p>
      <w:pPr>
        <w:jc w:val="left"/>
        <w:rPr>
          <w:rFonts w:asciiTheme="minorEastAsia" w:hAnsiTheme="minorEastAsia" w:eastAsiaTheme="minorEastAsia"/>
        </w:rPr>
      </w:pPr>
      <w:r>
        <w:rPr>
          <w:rFonts w:hint="eastAsia" w:asciiTheme="minorEastAsia" w:hAnsiTheme="minorEastAsia" w:eastAsiaTheme="minorEastAsia"/>
        </w:rPr>
        <w:t>五年质保，从验收合格之日起计算。质保期内提供7*24原厂保修服务，包括远程和现场技术支持、故障解决。签合同时成交单位需提供产品制造商出具的针对本项目的原厂售后服务承诺书（原件，并加盖公章）。质保期内，成交单位应对本次采购的电池免费提供至少每年4次系统性的全面检查，对故障及时处理，并出具相应的书面检测报告；</w:t>
      </w:r>
    </w:p>
    <w:p>
      <w:pPr>
        <w:jc w:val="left"/>
        <w:rPr>
          <w:rFonts w:asciiTheme="minorEastAsia" w:hAnsiTheme="minorEastAsia" w:eastAsiaTheme="minorEastAsia"/>
        </w:rPr>
      </w:pPr>
      <w:bookmarkStart w:id="85" w:name="_Hlk153373300"/>
      <w:r>
        <w:rPr>
          <w:rFonts w:hint="eastAsia" w:asciiTheme="minorEastAsia" w:hAnsiTheme="minorEastAsia" w:eastAsiaTheme="minorEastAsia"/>
        </w:rPr>
        <w:t>蓄电池</w:t>
      </w:r>
      <w:bookmarkEnd w:id="85"/>
      <w:r>
        <w:rPr>
          <w:rFonts w:hint="eastAsia" w:asciiTheme="minorEastAsia" w:hAnsiTheme="minorEastAsia" w:eastAsiaTheme="minorEastAsia"/>
        </w:rPr>
        <w:t>须提供通过泰尔检测报告；</w:t>
      </w:r>
    </w:p>
    <w:p>
      <w:pPr>
        <w:jc w:val="left"/>
        <w:rPr>
          <w:rFonts w:asciiTheme="minorEastAsia" w:hAnsiTheme="minorEastAsia" w:eastAsiaTheme="minorEastAsia"/>
        </w:rPr>
      </w:pPr>
      <w:r>
        <w:rPr>
          <w:rFonts w:hint="eastAsia" w:asciiTheme="minorEastAsia" w:hAnsiTheme="minorEastAsia" w:eastAsiaTheme="minorEastAsia"/>
        </w:rPr>
        <w:t>蓄电池品牌限施耐德、伊顿、维谛。</w:t>
      </w:r>
    </w:p>
    <w:p>
      <w:pPr>
        <w:jc w:val="left"/>
        <w:rPr>
          <w:rFonts w:asciiTheme="minorEastAsia" w:hAnsiTheme="minorEastAsia" w:eastAsiaTheme="minorEastAsia"/>
        </w:rPr>
      </w:pPr>
      <w:r>
        <w:rPr>
          <w:rFonts w:hint="eastAsia" w:asciiTheme="minorEastAsia" w:hAnsiTheme="minorEastAsia" w:eastAsiaTheme="minorEastAsia"/>
        </w:rPr>
        <w:t xml:space="preserve">五、响应单位应在询比开始前与用户单位联系，到现场实地踏勘（地点：档案馆UPS配电间），确认安装位置、环境。响应单位如果没有踏勘现场，则视为熟知建设现场情况，造成的后果自行负责。现场踏勘联系： 邬老师 </w:t>
      </w:r>
      <w:r>
        <w:rPr>
          <w:rFonts w:asciiTheme="minorEastAsia" w:hAnsiTheme="minorEastAsia" w:eastAsiaTheme="minorEastAsia"/>
        </w:rPr>
        <w:t>68252544</w:t>
      </w:r>
      <w:r>
        <w:rPr>
          <w:rFonts w:hint="eastAsia" w:asciiTheme="minorEastAsia" w:hAnsiTheme="minorEastAsia" w:eastAsiaTheme="minorEastAsia"/>
        </w:rPr>
        <w:t xml:space="preserve"> </w:t>
      </w:r>
      <w:r>
        <w:rPr>
          <w:rFonts w:hint="eastAsia" w:asciiTheme="minorEastAsia" w:hAnsiTheme="minorEastAsia" w:eastAsiaTheme="minorEastAsia"/>
        </w:rPr>
        <w:tab/>
      </w:r>
    </w:p>
    <w:p>
      <w:pPr>
        <w:jc w:val="left"/>
        <w:rPr>
          <w:rFonts w:asciiTheme="minorEastAsia" w:hAnsiTheme="minorEastAsia" w:eastAsiaTheme="minorEastAsia"/>
        </w:rPr>
      </w:pPr>
      <w:r>
        <w:rPr>
          <w:rFonts w:hint="eastAsia" w:asciiTheme="minorEastAsia" w:hAnsiTheme="minorEastAsia" w:eastAsiaTheme="minorEastAsia"/>
        </w:rPr>
        <w:t>六、施工要求</w:t>
      </w:r>
    </w:p>
    <w:p>
      <w:pPr>
        <w:jc w:val="left"/>
        <w:rPr>
          <w:rFonts w:asciiTheme="minorEastAsia" w:hAnsiTheme="minorEastAsia" w:eastAsiaTheme="minorEastAsia"/>
        </w:rPr>
      </w:pPr>
      <w:r>
        <w:rPr>
          <w:rFonts w:hint="eastAsia" w:asciiTheme="minorEastAsia" w:hAnsiTheme="minorEastAsia" w:eastAsiaTheme="minorEastAsia"/>
        </w:rPr>
        <w:t>1、更换UPS后备电池具有严格的技术和安全要求，因此成交单位施工前要对机房现场情况进行勘察，拟定技术实施方案和安全保护措施。</w:t>
      </w:r>
    </w:p>
    <w:p>
      <w:pPr>
        <w:jc w:val="left"/>
        <w:rPr>
          <w:rFonts w:asciiTheme="minorEastAsia" w:hAnsiTheme="minorEastAsia" w:eastAsiaTheme="minorEastAsia"/>
        </w:rPr>
      </w:pPr>
      <w:r>
        <w:rPr>
          <w:rFonts w:hint="eastAsia" w:asciiTheme="minorEastAsia" w:hAnsiTheme="minorEastAsia" w:eastAsiaTheme="minorEastAsia"/>
        </w:rPr>
        <w:t>2、整个施工过程必须由专业工程师负责完成。</w:t>
      </w:r>
    </w:p>
    <w:p>
      <w:pPr>
        <w:jc w:val="left"/>
        <w:rPr>
          <w:rFonts w:asciiTheme="minorEastAsia" w:hAnsiTheme="minorEastAsia" w:eastAsiaTheme="minorEastAsia"/>
        </w:rPr>
      </w:pPr>
      <w:r>
        <w:rPr>
          <w:rFonts w:hint="eastAsia" w:asciiTheme="minorEastAsia" w:hAnsiTheme="minorEastAsia" w:eastAsiaTheme="minorEastAsia"/>
        </w:rPr>
        <w:t>3.电池架利旧。新电池尺寸应满足现有电池架摆放，具体尺寸现场勘察时测量。如成交单位提供的方案需要更换电池架，则此部分费用全部由成交单位承担。</w:t>
      </w:r>
    </w:p>
    <w:p>
      <w:pPr>
        <w:jc w:val="left"/>
        <w:rPr>
          <w:rFonts w:asciiTheme="minorEastAsia" w:hAnsiTheme="minorEastAsia" w:eastAsiaTheme="minorEastAsia"/>
        </w:rPr>
      </w:pPr>
      <w:r>
        <w:rPr>
          <w:rFonts w:hint="eastAsia" w:asciiTheme="minorEastAsia" w:hAnsiTheme="minorEastAsia" w:eastAsiaTheme="minorEastAsia"/>
        </w:rPr>
        <w:t>4、施工完成后，成交单位应提供详细的图文资料和配置信息等，提供的资料应同时有电子形式和纸质形式，以便存档和统计分析。</w:t>
      </w:r>
    </w:p>
    <w:p>
      <w:pPr>
        <w:jc w:val="left"/>
        <w:rPr>
          <w:rFonts w:asciiTheme="minorEastAsia" w:hAnsiTheme="minorEastAsia" w:eastAsiaTheme="minorEastAsia"/>
        </w:rPr>
      </w:pPr>
      <w:r>
        <w:rPr>
          <w:rFonts w:hint="eastAsia" w:asciiTheme="minorEastAsia" w:hAnsiTheme="minorEastAsia" w:eastAsiaTheme="minorEastAsia"/>
        </w:rPr>
        <w:t>七、其它说明</w:t>
      </w:r>
    </w:p>
    <w:p>
      <w:pPr>
        <w:jc w:val="left"/>
        <w:rPr>
          <w:rFonts w:asciiTheme="minorEastAsia" w:hAnsiTheme="minorEastAsia" w:eastAsiaTheme="minorEastAsia"/>
        </w:rPr>
      </w:pPr>
      <w:r>
        <w:rPr>
          <w:rFonts w:hint="eastAsia" w:asciiTheme="minorEastAsia" w:hAnsiTheme="minorEastAsia" w:eastAsiaTheme="minorEastAsia"/>
        </w:rPr>
        <w:t>1、本技术需求提出的各项功能要求和技术指标是对本项目的最基本要求，并未对一切细节做出全部详细规定，也未充分引述有关标准和规范性文件，成交单位所有与本项目有关的技术标准均应不低于投标时已颁布的国家和行业标准、或相应的国际标准的有关条文，使用最新的专利和保密专利需特别说明。</w:t>
      </w:r>
    </w:p>
    <w:p>
      <w:pPr>
        <w:jc w:val="left"/>
        <w:rPr>
          <w:rFonts w:asciiTheme="minorEastAsia" w:hAnsiTheme="minorEastAsia" w:eastAsiaTheme="minorEastAsia"/>
        </w:rPr>
      </w:pPr>
      <w:r>
        <w:rPr>
          <w:rFonts w:asciiTheme="minorEastAsia" w:hAnsiTheme="minorEastAsia" w:eastAsiaTheme="minorEastAsia"/>
        </w:rPr>
        <w:t xml:space="preserve">                                   </w:t>
      </w:r>
    </w:p>
    <w:p>
      <w:pPr>
        <w:jc w:val="left"/>
        <w:rPr>
          <w:rFonts w:asciiTheme="minorEastAsia" w:hAnsiTheme="minorEastAsia" w:eastAsiaTheme="minorEastAsia"/>
        </w:rPr>
      </w:pPr>
    </w:p>
    <w:p>
      <w:pPr>
        <w:jc w:val="left"/>
        <w:rPr>
          <w:rFonts w:asciiTheme="minorEastAsia" w:hAnsiTheme="minorEastAsia" w:eastAsiaTheme="minorEastAsia"/>
          <w:sz w:val="32"/>
          <w:szCs w:val="32"/>
        </w:rPr>
      </w:pPr>
    </w:p>
    <w:sectPr>
      <w:headerReference r:id="rId11" w:type="default"/>
      <w:pgSz w:w="11906" w:h="16838"/>
      <w:pgMar w:top="1440" w:right="1800" w:bottom="1440" w:left="1800" w:header="851" w:footer="992" w:gutter="0"/>
      <w:cols w:space="425" w:num="1"/>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jc w:val="center"/>
      <w:rPr>
        <w:rStyle w:val="32"/>
        <w:rFonts w:ascii="宋体" w:cs="宋体"/>
        <w:sz w:val="28"/>
        <w:szCs w:val="28"/>
      </w:rPr>
    </w:pPr>
    <w:r>
      <w:rPr>
        <w:rStyle w:val="32"/>
        <w:rFonts w:ascii="宋体" w:cs="宋体"/>
        <w:sz w:val="28"/>
        <w:szCs w:val="28"/>
      </w:rPr>
      <w:t>-</w:t>
    </w:r>
    <w:r>
      <w:rPr>
        <w:rStyle w:val="32"/>
        <w:rFonts w:ascii="宋体" w:cs="宋体"/>
        <w:sz w:val="28"/>
        <w:szCs w:val="28"/>
      </w:rPr>
      <w:fldChar w:fldCharType="begin"/>
    </w:r>
    <w:r>
      <w:rPr>
        <w:rStyle w:val="32"/>
        <w:rFonts w:ascii="宋体" w:cs="宋体"/>
        <w:sz w:val="28"/>
        <w:szCs w:val="28"/>
      </w:rPr>
      <w:instrText xml:space="preserve">PAGE  </w:instrText>
    </w:r>
    <w:r>
      <w:rPr>
        <w:rStyle w:val="32"/>
        <w:rFonts w:ascii="宋体" w:cs="宋体"/>
        <w:sz w:val="28"/>
        <w:szCs w:val="28"/>
      </w:rPr>
      <w:fldChar w:fldCharType="separate"/>
    </w:r>
    <w:r>
      <w:rPr>
        <w:rStyle w:val="32"/>
        <w:rFonts w:ascii="宋体" w:cs="宋体"/>
        <w:sz w:val="28"/>
        <w:szCs w:val="28"/>
      </w:rPr>
      <w:t>2</w:t>
    </w:r>
    <w:r>
      <w:rPr>
        <w:rStyle w:val="32"/>
        <w:rFonts w:ascii="宋体" w:cs="宋体"/>
        <w:sz w:val="28"/>
        <w:szCs w:val="28"/>
      </w:rPr>
      <w:fldChar w:fldCharType="end"/>
    </w:r>
    <w:r>
      <w:rPr>
        <w:rStyle w:val="32"/>
        <w:rFonts w:ascii="宋体" w:cs="宋体"/>
        <w:sz w:val="28"/>
        <w:szCs w:val="28"/>
      </w:rPr>
      <w:t>-</w:t>
    </w:r>
  </w:p>
  <w:p>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4880" w:h="1361" w:hRule="exact" w:wrap="around" w:vAnchor="text" w:hAnchor="page" w:x="5402" w:y="-385"/>
      <w:rPr>
        <w:rStyle w:val="32"/>
        <w:rFonts w:ascii="宋体"/>
        <w:sz w:val="28"/>
        <w:szCs w:val="28"/>
      </w:rPr>
    </w:pPr>
    <w:r>
      <w:rPr>
        <w:rStyle w:val="32"/>
        <w:rFonts w:ascii="宋体" w:cs="宋体"/>
        <w:sz w:val="28"/>
        <w:szCs w:val="28"/>
      </w:rPr>
      <w:fldChar w:fldCharType="begin"/>
    </w:r>
    <w:r>
      <w:rPr>
        <w:rStyle w:val="32"/>
        <w:rFonts w:ascii="宋体" w:cs="宋体"/>
        <w:sz w:val="28"/>
        <w:szCs w:val="28"/>
      </w:rPr>
      <w:instrText xml:space="preserve">PAGE  </w:instrText>
    </w:r>
    <w:r>
      <w:rPr>
        <w:rStyle w:val="32"/>
        <w:rFonts w:ascii="宋体" w:cs="宋体"/>
        <w:sz w:val="28"/>
        <w:szCs w:val="28"/>
      </w:rPr>
      <w:fldChar w:fldCharType="separate"/>
    </w:r>
    <w:r>
      <w:rPr>
        <w:rStyle w:val="32"/>
        <w:rFonts w:ascii="宋体" w:cs="宋体"/>
        <w:sz w:val="28"/>
        <w:szCs w:val="28"/>
      </w:rPr>
      <w:t>30</w:t>
    </w:r>
    <w:r>
      <w:rPr>
        <w:rStyle w:val="32"/>
        <w:rFonts w:ascii="宋体" w:cs="宋体"/>
        <w:sz w:val="28"/>
        <w:szCs w:val="28"/>
      </w:rPr>
      <w:fldChar w:fldCharType="end"/>
    </w:r>
  </w:p>
  <w:p>
    <w:pPr>
      <w:pStyle w:val="19"/>
      <w:framePr w:w="4880" w:h="1361" w:hRule="exact" w:wrap="around" w:vAnchor="text" w:hAnchor="page" w:x="5402" w:y="-385"/>
      <w:ind w:right="360"/>
      <w:rPr>
        <w:rStyle w:val="32"/>
      </w:rPr>
    </w:pPr>
  </w:p>
  <w:p>
    <w:pPr>
      <w:pStyle w:val="19"/>
      <w:framePr w:w="4880" w:h="1361" w:hRule="exact" w:wrap="around" w:vAnchor="text" w:hAnchor="page" w:x="5402" w:y="-385"/>
      <w:rPr>
        <w:rStyle w:val="32"/>
      </w:rPr>
    </w:pPr>
  </w:p>
  <w:p>
    <w:pPr>
      <w:pStyle w:val="19"/>
      <w:framePr w:w="4880" w:h="1361" w:hRule="exact" w:wrap="around" w:vAnchor="text" w:hAnchor="page" w:x="5402" w:y="-385"/>
      <w:rPr>
        <w:rStyle w:val="32"/>
      </w:rPr>
    </w:pPr>
  </w:p>
  <w:p>
    <w:pPr>
      <w:pStyle w:val="19"/>
      <w:framePr w:w="4880" w:h="1361" w:hRule="exact" w:wrap="around" w:vAnchor="text" w:hAnchor="page" w:x="5402" w:y="-385"/>
      <w:jc w:val="center"/>
      <w:rPr>
        <w:rStyle w:val="32"/>
      </w:rPr>
    </w:pPr>
  </w:p>
  <w:p>
    <w:pPr>
      <w:pStyle w:val="19"/>
      <w:framePr w:w="4880" w:h="1361" w:hRule="exact" w:wrap="around" w:vAnchor="text" w:hAnchor="page" w:x="5402" w:y="-385"/>
      <w:rPr>
        <w:rStyle w:val="32"/>
      </w:rPr>
    </w:pPr>
  </w:p>
  <w:p>
    <w:pPr>
      <w:pStyle w:val="19"/>
      <w:framePr w:w="4880" w:h="1361" w:hRule="exact" w:wrap="around" w:vAnchor="text" w:hAnchor="page" w:x="5402" w:y="-385"/>
      <w:rPr>
        <w:rStyle w:val="3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rPr>
        <w:sz w:val="28"/>
        <w:szCs w:val="28"/>
      </w:rPr>
    </w:pPr>
    <w:r>
      <w:rPr>
        <w:rFonts w:hint="eastAsia" w:cs="宋体"/>
        <w:sz w:val="28"/>
        <w:szCs w:val="28"/>
      </w:rPr>
      <w:t>西南大学采购文件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rPr>
        <w:sz w:val="28"/>
        <w:szCs w:val="28"/>
      </w:rPr>
    </w:pPr>
    <w:r>
      <w:rPr>
        <w:rFonts w:hint="eastAsia" w:cs="宋体"/>
        <w:sz w:val="28"/>
        <w:szCs w:val="28"/>
      </w:rPr>
      <w:t>西南大学询比文件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singleLevel"/>
    <w:tmpl w:val="00000005"/>
    <w:lvl w:ilvl="0" w:tentative="0">
      <w:start w:val="6"/>
      <w:numFmt w:val="chineseCounting"/>
      <w:suff w:val="nothing"/>
      <w:lvlText w:val="%1、"/>
      <w:lvlJc w:val="left"/>
    </w:lvl>
  </w:abstractNum>
  <w:abstractNum w:abstractNumId="1">
    <w:nsid w:val="0000000B"/>
    <w:multiLevelType w:val="singleLevel"/>
    <w:tmpl w:val="0000000B"/>
    <w:lvl w:ilvl="0" w:tentative="0">
      <w:start w:val="1"/>
      <w:numFmt w:val="decimal"/>
      <w:lvlText w:val="%1."/>
      <w:lvlJc w:val="left"/>
      <w:pPr>
        <w:tabs>
          <w:tab w:val="left" w:pos="1173"/>
        </w:tabs>
        <w:ind w:left="1173" w:hanging="420"/>
      </w:pPr>
      <w:rPr>
        <w:rFonts w:ascii="Times New Roman" w:hAnsi="Times New Roman" w:eastAsia="Times New Roman" w:cs="Times New Roman"/>
      </w:rPr>
    </w:lvl>
  </w:abstractNum>
  <w:abstractNum w:abstractNumId="2">
    <w:nsid w:val="04C81058"/>
    <w:multiLevelType w:val="multilevel"/>
    <w:tmpl w:val="04C81058"/>
    <w:lvl w:ilvl="0" w:tentative="0">
      <w:start w:val="1"/>
      <w:numFmt w:val="japaneseCounting"/>
      <w:lvlText w:val="第%1篇"/>
      <w:lvlJc w:val="left"/>
      <w:pPr>
        <w:ind w:left="1080" w:hanging="1080"/>
      </w:pPr>
      <w:rPr>
        <w:rFonts w:hint="default" w:cs="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57654F7"/>
    <w:multiLevelType w:val="singleLevel"/>
    <w:tmpl w:val="557654F7"/>
    <w:lvl w:ilvl="0" w:tentative="0">
      <w:start w:val="2"/>
      <w:numFmt w:val="chineseCounting"/>
      <w:suff w:val="nothing"/>
      <w:lvlText w:val="%1、"/>
      <w:lvlJc w:val="left"/>
      <w:rPr>
        <w:rFonts w:cs="Times New Roman"/>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5"/>
  <w:drawingGridHorizontalSpacing w:val="140"/>
  <w:drawingGridVerticalSpacing w:val="381"/>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05D7"/>
    <w:rsid w:val="00000EE7"/>
    <w:rsid w:val="0000249C"/>
    <w:rsid w:val="000028CD"/>
    <w:rsid w:val="000036A1"/>
    <w:rsid w:val="00003BAF"/>
    <w:rsid w:val="00003D86"/>
    <w:rsid w:val="00004242"/>
    <w:rsid w:val="0000468D"/>
    <w:rsid w:val="00005498"/>
    <w:rsid w:val="000055D1"/>
    <w:rsid w:val="00006427"/>
    <w:rsid w:val="00006BF7"/>
    <w:rsid w:val="00006C1E"/>
    <w:rsid w:val="00006EEF"/>
    <w:rsid w:val="000073E4"/>
    <w:rsid w:val="00010E36"/>
    <w:rsid w:val="00011AFA"/>
    <w:rsid w:val="000133F8"/>
    <w:rsid w:val="000139F6"/>
    <w:rsid w:val="00013FD3"/>
    <w:rsid w:val="00015665"/>
    <w:rsid w:val="000209FC"/>
    <w:rsid w:val="000228B8"/>
    <w:rsid w:val="00027FB3"/>
    <w:rsid w:val="0003018F"/>
    <w:rsid w:val="00030CC8"/>
    <w:rsid w:val="000310A5"/>
    <w:rsid w:val="00031B5A"/>
    <w:rsid w:val="00031B8C"/>
    <w:rsid w:val="0003206C"/>
    <w:rsid w:val="000321E7"/>
    <w:rsid w:val="00033480"/>
    <w:rsid w:val="00035079"/>
    <w:rsid w:val="00035AB1"/>
    <w:rsid w:val="00037B96"/>
    <w:rsid w:val="00040FF9"/>
    <w:rsid w:val="00042133"/>
    <w:rsid w:val="00042F23"/>
    <w:rsid w:val="000441F0"/>
    <w:rsid w:val="000455CD"/>
    <w:rsid w:val="000457AF"/>
    <w:rsid w:val="00050193"/>
    <w:rsid w:val="00052E83"/>
    <w:rsid w:val="00054FDE"/>
    <w:rsid w:val="00055E73"/>
    <w:rsid w:val="00057F63"/>
    <w:rsid w:val="000605B1"/>
    <w:rsid w:val="00060B5E"/>
    <w:rsid w:val="00061912"/>
    <w:rsid w:val="0007039D"/>
    <w:rsid w:val="000724B6"/>
    <w:rsid w:val="0007476C"/>
    <w:rsid w:val="00074AAD"/>
    <w:rsid w:val="000774F5"/>
    <w:rsid w:val="000778DC"/>
    <w:rsid w:val="00077AB9"/>
    <w:rsid w:val="00081967"/>
    <w:rsid w:val="000819CA"/>
    <w:rsid w:val="00082E87"/>
    <w:rsid w:val="000838A2"/>
    <w:rsid w:val="00083FB6"/>
    <w:rsid w:val="00084FFC"/>
    <w:rsid w:val="00086067"/>
    <w:rsid w:val="00086460"/>
    <w:rsid w:val="0008646C"/>
    <w:rsid w:val="0008674C"/>
    <w:rsid w:val="000869B0"/>
    <w:rsid w:val="000878C1"/>
    <w:rsid w:val="00090652"/>
    <w:rsid w:val="00090A94"/>
    <w:rsid w:val="0009109D"/>
    <w:rsid w:val="00091485"/>
    <w:rsid w:val="00092702"/>
    <w:rsid w:val="00092D68"/>
    <w:rsid w:val="000931F7"/>
    <w:rsid w:val="000932FE"/>
    <w:rsid w:val="00093387"/>
    <w:rsid w:val="0009454A"/>
    <w:rsid w:val="00096CE8"/>
    <w:rsid w:val="00097FC0"/>
    <w:rsid w:val="000A221A"/>
    <w:rsid w:val="000A5A47"/>
    <w:rsid w:val="000A5B39"/>
    <w:rsid w:val="000A703C"/>
    <w:rsid w:val="000A7471"/>
    <w:rsid w:val="000B06E1"/>
    <w:rsid w:val="000B0BC6"/>
    <w:rsid w:val="000B0E81"/>
    <w:rsid w:val="000B1420"/>
    <w:rsid w:val="000B4273"/>
    <w:rsid w:val="000B5705"/>
    <w:rsid w:val="000B5F9F"/>
    <w:rsid w:val="000B5FFA"/>
    <w:rsid w:val="000B6C09"/>
    <w:rsid w:val="000B6FD9"/>
    <w:rsid w:val="000B7A2E"/>
    <w:rsid w:val="000C1165"/>
    <w:rsid w:val="000C1F2C"/>
    <w:rsid w:val="000C25B0"/>
    <w:rsid w:val="000C2C97"/>
    <w:rsid w:val="000C42FF"/>
    <w:rsid w:val="000C435C"/>
    <w:rsid w:val="000C485F"/>
    <w:rsid w:val="000C5B92"/>
    <w:rsid w:val="000C601E"/>
    <w:rsid w:val="000C6066"/>
    <w:rsid w:val="000C65C2"/>
    <w:rsid w:val="000C6C3A"/>
    <w:rsid w:val="000C7053"/>
    <w:rsid w:val="000C7058"/>
    <w:rsid w:val="000C7101"/>
    <w:rsid w:val="000D15EE"/>
    <w:rsid w:val="000D5168"/>
    <w:rsid w:val="000D7BAB"/>
    <w:rsid w:val="000E021A"/>
    <w:rsid w:val="000E0781"/>
    <w:rsid w:val="000E090F"/>
    <w:rsid w:val="000E2D6D"/>
    <w:rsid w:val="000E4186"/>
    <w:rsid w:val="000E4D43"/>
    <w:rsid w:val="000E6255"/>
    <w:rsid w:val="000E7591"/>
    <w:rsid w:val="000F15A8"/>
    <w:rsid w:val="000F2790"/>
    <w:rsid w:val="000F3742"/>
    <w:rsid w:val="000F3ACD"/>
    <w:rsid w:val="000F5690"/>
    <w:rsid w:val="000F6700"/>
    <w:rsid w:val="000F6C38"/>
    <w:rsid w:val="000F6D7E"/>
    <w:rsid w:val="00100039"/>
    <w:rsid w:val="00100E6B"/>
    <w:rsid w:val="00102648"/>
    <w:rsid w:val="00103C81"/>
    <w:rsid w:val="001040C8"/>
    <w:rsid w:val="00104190"/>
    <w:rsid w:val="001045A0"/>
    <w:rsid w:val="001053FD"/>
    <w:rsid w:val="00106E40"/>
    <w:rsid w:val="001116D0"/>
    <w:rsid w:val="00112235"/>
    <w:rsid w:val="00115B95"/>
    <w:rsid w:val="00120DF7"/>
    <w:rsid w:val="00121370"/>
    <w:rsid w:val="00121B73"/>
    <w:rsid w:val="00122E58"/>
    <w:rsid w:val="0012311E"/>
    <w:rsid w:val="0012322A"/>
    <w:rsid w:val="001239B3"/>
    <w:rsid w:val="0012488D"/>
    <w:rsid w:val="00125C83"/>
    <w:rsid w:val="00125EA7"/>
    <w:rsid w:val="00126625"/>
    <w:rsid w:val="00127613"/>
    <w:rsid w:val="0013017B"/>
    <w:rsid w:val="001303D4"/>
    <w:rsid w:val="00130F01"/>
    <w:rsid w:val="001367A1"/>
    <w:rsid w:val="00136F87"/>
    <w:rsid w:val="00137632"/>
    <w:rsid w:val="0014134B"/>
    <w:rsid w:val="00141443"/>
    <w:rsid w:val="00143123"/>
    <w:rsid w:val="0014506E"/>
    <w:rsid w:val="00145252"/>
    <w:rsid w:val="0014626F"/>
    <w:rsid w:val="001466B7"/>
    <w:rsid w:val="00147D42"/>
    <w:rsid w:val="00150BA2"/>
    <w:rsid w:val="00150FAD"/>
    <w:rsid w:val="00152DB1"/>
    <w:rsid w:val="00153D11"/>
    <w:rsid w:val="001541CB"/>
    <w:rsid w:val="00155D45"/>
    <w:rsid w:val="00160B52"/>
    <w:rsid w:val="00160BD5"/>
    <w:rsid w:val="00160D85"/>
    <w:rsid w:val="001615E8"/>
    <w:rsid w:val="0016212E"/>
    <w:rsid w:val="00162213"/>
    <w:rsid w:val="00162B12"/>
    <w:rsid w:val="0016570C"/>
    <w:rsid w:val="001661EF"/>
    <w:rsid w:val="0016633A"/>
    <w:rsid w:val="0016666B"/>
    <w:rsid w:val="0016704B"/>
    <w:rsid w:val="0017118D"/>
    <w:rsid w:val="00171219"/>
    <w:rsid w:val="00172567"/>
    <w:rsid w:val="00172A27"/>
    <w:rsid w:val="001738FF"/>
    <w:rsid w:val="0017497F"/>
    <w:rsid w:val="00177A85"/>
    <w:rsid w:val="00180355"/>
    <w:rsid w:val="001806BA"/>
    <w:rsid w:val="00181C44"/>
    <w:rsid w:val="00182187"/>
    <w:rsid w:val="001821DE"/>
    <w:rsid w:val="0018306A"/>
    <w:rsid w:val="001848D3"/>
    <w:rsid w:val="00184D17"/>
    <w:rsid w:val="001860F6"/>
    <w:rsid w:val="00187DB9"/>
    <w:rsid w:val="0019086E"/>
    <w:rsid w:val="00191B78"/>
    <w:rsid w:val="00193518"/>
    <w:rsid w:val="001949D8"/>
    <w:rsid w:val="001A198D"/>
    <w:rsid w:val="001A27E7"/>
    <w:rsid w:val="001A31A2"/>
    <w:rsid w:val="001A34FC"/>
    <w:rsid w:val="001A39E3"/>
    <w:rsid w:val="001A479F"/>
    <w:rsid w:val="001A4D59"/>
    <w:rsid w:val="001A6793"/>
    <w:rsid w:val="001B1456"/>
    <w:rsid w:val="001B170C"/>
    <w:rsid w:val="001B1CF6"/>
    <w:rsid w:val="001B1EEA"/>
    <w:rsid w:val="001B2BF1"/>
    <w:rsid w:val="001B2D3A"/>
    <w:rsid w:val="001B53E6"/>
    <w:rsid w:val="001B580D"/>
    <w:rsid w:val="001B6D38"/>
    <w:rsid w:val="001B7043"/>
    <w:rsid w:val="001B7241"/>
    <w:rsid w:val="001B7DDB"/>
    <w:rsid w:val="001C12AB"/>
    <w:rsid w:val="001C15CD"/>
    <w:rsid w:val="001C1907"/>
    <w:rsid w:val="001C2663"/>
    <w:rsid w:val="001D0D28"/>
    <w:rsid w:val="001D3A8F"/>
    <w:rsid w:val="001D427D"/>
    <w:rsid w:val="001D47E6"/>
    <w:rsid w:val="001D5EF6"/>
    <w:rsid w:val="001E3F8B"/>
    <w:rsid w:val="001E48CF"/>
    <w:rsid w:val="001E6279"/>
    <w:rsid w:val="001E6E2A"/>
    <w:rsid w:val="001E7A53"/>
    <w:rsid w:val="001E7EA6"/>
    <w:rsid w:val="001F1816"/>
    <w:rsid w:val="001F240F"/>
    <w:rsid w:val="001F29C3"/>
    <w:rsid w:val="001F2C7C"/>
    <w:rsid w:val="001F3DD8"/>
    <w:rsid w:val="001F6745"/>
    <w:rsid w:val="002001FF"/>
    <w:rsid w:val="0020026F"/>
    <w:rsid w:val="00200F9F"/>
    <w:rsid w:val="0020110F"/>
    <w:rsid w:val="00203736"/>
    <w:rsid w:val="0020523C"/>
    <w:rsid w:val="00206482"/>
    <w:rsid w:val="002077D6"/>
    <w:rsid w:val="00207DA5"/>
    <w:rsid w:val="00207F40"/>
    <w:rsid w:val="00211069"/>
    <w:rsid w:val="00213B3E"/>
    <w:rsid w:val="00215E75"/>
    <w:rsid w:val="002165CC"/>
    <w:rsid w:val="002167A3"/>
    <w:rsid w:val="00217552"/>
    <w:rsid w:val="00221B20"/>
    <w:rsid w:val="00221BE8"/>
    <w:rsid w:val="00222853"/>
    <w:rsid w:val="00223236"/>
    <w:rsid w:val="00223671"/>
    <w:rsid w:val="00223EBB"/>
    <w:rsid w:val="002255B0"/>
    <w:rsid w:val="00225DED"/>
    <w:rsid w:val="002268FC"/>
    <w:rsid w:val="002270AB"/>
    <w:rsid w:val="002303C3"/>
    <w:rsid w:val="002327FA"/>
    <w:rsid w:val="00232A9A"/>
    <w:rsid w:val="00234291"/>
    <w:rsid w:val="0023480E"/>
    <w:rsid w:val="002358CD"/>
    <w:rsid w:val="00235C2B"/>
    <w:rsid w:val="00235DEA"/>
    <w:rsid w:val="00236907"/>
    <w:rsid w:val="0023793E"/>
    <w:rsid w:val="00237EBC"/>
    <w:rsid w:val="002400D0"/>
    <w:rsid w:val="002419D4"/>
    <w:rsid w:val="00242072"/>
    <w:rsid w:val="002450A2"/>
    <w:rsid w:val="0024663E"/>
    <w:rsid w:val="0025039C"/>
    <w:rsid w:val="002506FB"/>
    <w:rsid w:val="00250782"/>
    <w:rsid w:val="00250D04"/>
    <w:rsid w:val="00250D62"/>
    <w:rsid w:val="0025140C"/>
    <w:rsid w:val="0025218B"/>
    <w:rsid w:val="00252F15"/>
    <w:rsid w:val="00252FC2"/>
    <w:rsid w:val="002546A8"/>
    <w:rsid w:val="002546AE"/>
    <w:rsid w:val="0025655D"/>
    <w:rsid w:val="00257FE3"/>
    <w:rsid w:val="00260B30"/>
    <w:rsid w:val="00261F3E"/>
    <w:rsid w:val="00263098"/>
    <w:rsid w:val="00265CFF"/>
    <w:rsid w:val="0026600B"/>
    <w:rsid w:val="002717FA"/>
    <w:rsid w:val="00272E58"/>
    <w:rsid w:val="00273482"/>
    <w:rsid w:val="002735F5"/>
    <w:rsid w:val="00276A48"/>
    <w:rsid w:val="00277864"/>
    <w:rsid w:val="00282ACA"/>
    <w:rsid w:val="00282CFD"/>
    <w:rsid w:val="002837CC"/>
    <w:rsid w:val="00283A99"/>
    <w:rsid w:val="00283BB1"/>
    <w:rsid w:val="00283BCE"/>
    <w:rsid w:val="00286154"/>
    <w:rsid w:val="00286BE1"/>
    <w:rsid w:val="002949C7"/>
    <w:rsid w:val="002949DE"/>
    <w:rsid w:val="002955BA"/>
    <w:rsid w:val="00295C0F"/>
    <w:rsid w:val="0029759F"/>
    <w:rsid w:val="002A0DFA"/>
    <w:rsid w:val="002A12EA"/>
    <w:rsid w:val="002A2420"/>
    <w:rsid w:val="002A2867"/>
    <w:rsid w:val="002A3763"/>
    <w:rsid w:val="002A37E1"/>
    <w:rsid w:val="002A6259"/>
    <w:rsid w:val="002A7449"/>
    <w:rsid w:val="002B16F0"/>
    <w:rsid w:val="002B1FFC"/>
    <w:rsid w:val="002B2479"/>
    <w:rsid w:val="002B281D"/>
    <w:rsid w:val="002B4E4A"/>
    <w:rsid w:val="002B5459"/>
    <w:rsid w:val="002B57E3"/>
    <w:rsid w:val="002B57F1"/>
    <w:rsid w:val="002B62A9"/>
    <w:rsid w:val="002B6A7B"/>
    <w:rsid w:val="002C1066"/>
    <w:rsid w:val="002C3E2B"/>
    <w:rsid w:val="002C40E7"/>
    <w:rsid w:val="002C4424"/>
    <w:rsid w:val="002C5945"/>
    <w:rsid w:val="002D01D3"/>
    <w:rsid w:val="002D7269"/>
    <w:rsid w:val="002E0005"/>
    <w:rsid w:val="002E07D2"/>
    <w:rsid w:val="002E0EFC"/>
    <w:rsid w:val="002E18FE"/>
    <w:rsid w:val="002E246F"/>
    <w:rsid w:val="002E289A"/>
    <w:rsid w:val="002E4ED7"/>
    <w:rsid w:val="002E5193"/>
    <w:rsid w:val="002E5960"/>
    <w:rsid w:val="002E6C89"/>
    <w:rsid w:val="002E741A"/>
    <w:rsid w:val="002F0326"/>
    <w:rsid w:val="002F0917"/>
    <w:rsid w:val="002F1655"/>
    <w:rsid w:val="002F2BDC"/>
    <w:rsid w:val="002F569D"/>
    <w:rsid w:val="00300045"/>
    <w:rsid w:val="00301BC6"/>
    <w:rsid w:val="00301E18"/>
    <w:rsid w:val="00302187"/>
    <w:rsid w:val="00303269"/>
    <w:rsid w:val="003034AB"/>
    <w:rsid w:val="00303B0D"/>
    <w:rsid w:val="0030506B"/>
    <w:rsid w:val="00305E48"/>
    <w:rsid w:val="00307100"/>
    <w:rsid w:val="003079CC"/>
    <w:rsid w:val="003108FE"/>
    <w:rsid w:val="003111BF"/>
    <w:rsid w:val="003114E9"/>
    <w:rsid w:val="00313F05"/>
    <w:rsid w:val="00317174"/>
    <w:rsid w:val="00317FFC"/>
    <w:rsid w:val="00320D47"/>
    <w:rsid w:val="00320D74"/>
    <w:rsid w:val="00321410"/>
    <w:rsid w:val="00321EBF"/>
    <w:rsid w:val="00322540"/>
    <w:rsid w:val="0032295E"/>
    <w:rsid w:val="003234BB"/>
    <w:rsid w:val="00323A9C"/>
    <w:rsid w:val="003245FB"/>
    <w:rsid w:val="0032784D"/>
    <w:rsid w:val="00327B33"/>
    <w:rsid w:val="0033170F"/>
    <w:rsid w:val="003318E7"/>
    <w:rsid w:val="00331A50"/>
    <w:rsid w:val="0033299C"/>
    <w:rsid w:val="00336870"/>
    <w:rsid w:val="00336C06"/>
    <w:rsid w:val="003371AD"/>
    <w:rsid w:val="0033732B"/>
    <w:rsid w:val="00341B00"/>
    <w:rsid w:val="00343C2A"/>
    <w:rsid w:val="003447D4"/>
    <w:rsid w:val="00345247"/>
    <w:rsid w:val="00346AF5"/>
    <w:rsid w:val="00346F8B"/>
    <w:rsid w:val="00347078"/>
    <w:rsid w:val="00350430"/>
    <w:rsid w:val="003526CA"/>
    <w:rsid w:val="00353661"/>
    <w:rsid w:val="003537D2"/>
    <w:rsid w:val="00354730"/>
    <w:rsid w:val="00355EE5"/>
    <w:rsid w:val="003563CC"/>
    <w:rsid w:val="0035663B"/>
    <w:rsid w:val="00362662"/>
    <w:rsid w:val="0036289B"/>
    <w:rsid w:val="00367425"/>
    <w:rsid w:val="00367B49"/>
    <w:rsid w:val="003722DE"/>
    <w:rsid w:val="00373375"/>
    <w:rsid w:val="00373FA2"/>
    <w:rsid w:val="00376AD3"/>
    <w:rsid w:val="003775CF"/>
    <w:rsid w:val="00377E89"/>
    <w:rsid w:val="00380BCA"/>
    <w:rsid w:val="003810CD"/>
    <w:rsid w:val="0038116C"/>
    <w:rsid w:val="0038443A"/>
    <w:rsid w:val="0038563D"/>
    <w:rsid w:val="0038753A"/>
    <w:rsid w:val="00387C7F"/>
    <w:rsid w:val="00387CE5"/>
    <w:rsid w:val="0039051C"/>
    <w:rsid w:val="00391C6F"/>
    <w:rsid w:val="00392234"/>
    <w:rsid w:val="00392F4A"/>
    <w:rsid w:val="003949CE"/>
    <w:rsid w:val="003953FC"/>
    <w:rsid w:val="00397706"/>
    <w:rsid w:val="003A132B"/>
    <w:rsid w:val="003A2518"/>
    <w:rsid w:val="003A2E45"/>
    <w:rsid w:val="003A2F9B"/>
    <w:rsid w:val="003A4725"/>
    <w:rsid w:val="003B0906"/>
    <w:rsid w:val="003B1027"/>
    <w:rsid w:val="003B1FD7"/>
    <w:rsid w:val="003B261A"/>
    <w:rsid w:val="003B4693"/>
    <w:rsid w:val="003B4942"/>
    <w:rsid w:val="003B5FB3"/>
    <w:rsid w:val="003B677F"/>
    <w:rsid w:val="003C2E57"/>
    <w:rsid w:val="003C3E06"/>
    <w:rsid w:val="003C41C7"/>
    <w:rsid w:val="003C5DFA"/>
    <w:rsid w:val="003C72BC"/>
    <w:rsid w:val="003D05E9"/>
    <w:rsid w:val="003D0DBD"/>
    <w:rsid w:val="003D4807"/>
    <w:rsid w:val="003D4BCA"/>
    <w:rsid w:val="003D5436"/>
    <w:rsid w:val="003D59B2"/>
    <w:rsid w:val="003D798E"/>
    <w:rsid w:val="003E0201"/>
    <w:rsid w:val="003E05AC"/>
    <w:rsid w:val="003E5C9F"/>
    <w:rsid w:val="003F3AE7"/>
    <w:rsid w:val="003F3DB6"/>
    <w:rsid w:val="003F5300"/>
    <w:rsid w:val="003F561C"/>
    <w:rsid w:val="003F68FF"/>
    <w:rsid w:val="003F7FDF"/>
    <w:rsid w:val="0040026E"/>
    <w:rsid w:val="00401364"/>
    <w:rsid w:val="00402F1E"/>
    <w:rsid w:val="00403C70"/>
    <w:rsid w:val="00404069"/>
    <w:rsid w:val="00404938"/>
    <w:rsid w:val="00411ACB"/>
    <w:rsid w:val="00414BC0"/>
    <w:rsid w:val="00417EAE"/>
    <w:rsid w:val="00425557"/>
    <w:rsid w:val="004258D1"/>
    <w:rsid w:val="00426B9E"/>
    <w:rsid w:val="004275D3"/>
    <w:rsid w:val="004310C6"/>
    <w:rsid w:val="0043166B"/>
    <w:rsid w:val="004326B3"/>
    <w:rsid w:val="00435634"/>
    <w:rsid w:val="00435DBC"/>
    <w:rsid w:val="00437D12"/>
    <w:rsid w:val="00440365"/>
    <w:rsid w:val="004414A4"/>
    <w:rsid w:val="004418DA"/>
    <w:rsid w:val="004419B6"/>
    <w:rsid w:val="00441C8F"/>
    <w:rsid w:val="0044211A"/>
    <w:rsid w:val="0044413B"/>
    <w:rsid w:val="00444D37"/>
    <w:rsid w:val="004450EF"/>
    <w:rsid w:val="0044528D"/>
    <w:rsid w:val="00445B38"/>
    <w:rsid w:val="004475F5"/>
    <w:rsid w:val="0044785C"/>
    <w:rsid w:val="00450675"/>
    <w:rsid w:val="004526B3"/>
    <w:rsid w:val="00452A1B"/>
    <w:rsid w:val="0046155F"/>
    <w:rsid w:val="00461767"/>
    <w:rsid w:val="00461E49"/>
    <w:rsid w:val="0046292C"/>
    <w:rsid w:val="00464BEA"/>
    <w:rsid w:val="0046517E"/>
    <w:rsid w:val="00465AB0"/>
    <w:rsid w:val="004676E0"/>
    <w:rsid w:val="00470307"/>
    <w:rsid w:val="00470C98"/>
    <w:rsid w:val="004712DE"/>
    <w:rsid w:val="00471DCD"/>
    <w:rsid w:val="00473518"/>
    <w:rsid w:val="00474626"/>
    <w:rsid w:val="00474792"/>
    <w:rsid w:val="00475AC2"/>
    <w:rsid w:val="00475E27"/>
    <w:rsid w:val="00480FA7"/>
    <w:rsid w:val="00481952"/>
    <w:rsid w:val="0048200F"/>
    <w:rsid w:val="00486C7D"/>
    <w:rsid w:val="00486C86"/>
    <w:rsid w:val="00490540"/>
    <w:rsid w:val="00490EBE"/>
    <w:rsid w:val="004910DE"/>
    <w:rsid w:val="00492C00"/>
    <w:rsid w:val="004939EA"/>
    <w:rsid w:val="00493A43"/>
    <w:rsid w:val="0049400B"/>
    <w:rsid w:val="0049488D"/>
    <w:rsid w:val="00496710"/>
    <w:rsid w:val="00497920"/>
    <w:rsid w:val="00497BBC"/>
    <w:rsid w:val="004A0586"/>
    <w:rsid w:val="004A3383"/>
    <w:rsid w:val="004A3B3A"/>
    <w:rsid w:val="004A4B50"/>
    <w:rsid w:val="004A5315"/>
    <w:rsid w:val="004A6E89"/>
    <w:rsid w:val="004B620E"/>
    <w:rsid w:val="004B79AF"/>
    <w:rsid w:val="004C0438"/>
    <w:rsid w:val="004C27ED"/>
    <w:rsid w:val="004C4AC3"/>
    <w:rsid w:val="004C506E"/>
    <w:rsid w:val="004C6B5F"/>
    <w:rsid w:val="004D0382"/>
    <w:rsid w:val="004D220A"/>
    <w:rsid w:val="004D4576"/>
    <w:rsid w:val="004D52EB"/>
    <w:rsid w:val="004D7744"/>
    <w:rsid w:val="004E0282"/>
    <w:rsid w:val="004E0EBC"/>
    <w:rsid w:val="004E1AE8"/>
    <w:rsid w:val="004E5454"/>
    <w:rsid w:val="004E74FF"/>
    <w:rsid w:val="004F02DF"/>
    <w:rsid w:val="004F1C1E"/>
    <w:rsid w:val="004F1FDB"/>
    <w:rsid w:val="004F21CD"/>
    <w:rsid w:val="004F2A68"/>
    <w:rsid w:val="004F30DF"/>
    <w:rsid w:val="004F37C6"/>
    <w:rsid w:val="004F38F1"/>
    <w:rsid w:val="004F3D80"/>
    <w:rsid w:val="004F4DFF"/>
    <w:rsid w:val="004F592D"/>
    <w:rsid w:val="004F704F"/>
    <w:rsid w:val="005001DD"/>
    <w:rsid w:val="00500A01"/>
    <w:rsid w:val="00501B89"/>
    <w:rsid w:val="00503275"/>
    <w:rsid w:val="00504824"/>
    <w:rsid w:val="005056DE"/>
    <w:rsid w:val="0050657B"/>
    <w:rsid w:val="00506A19"/>
    <w:rsid w:val="0050785D"/>
    <w:rsid w:val="0051132E"/>
    <w:rsid w:val="00511682"/>
    <w:rsid w:val="00511CA9"/>
    <w:rsid w:val="00511CB6"/>
    <w:rsid w:val="00512510"/>
    <w:rsid w:val="00513F3F"/>
    <w:rsid w:val="005145A6"/>
    <w:rsid w:val="00514892"/>
    <w:rsid w:val="005150D6"/>
    <w:rsid w:val="005152C1"/>
    <w:rsid w:val="00516076"/>
    <w:rsid w:val="005168A1"/>
    <w:rsid w:val="00520315"/>
    <w:rsid w:val="005226C0"/>
    <w:rsid w:val="00522EAE"/>
    <w:rsid w:val="00523D58"/>
    <w:rsid w:val="00523FD1"/>
    <w:rsid w:val="00525D3D"/>
    <w:rsid w:val="005261BC"/>
    <w:rsid w:val="00527FF5"/>
    <w:rsid w:val="00530A5E"/>
    <w:rsid w:val="00530D0E"/>
    <w:rsid w:val="005312C8"/>
    <w:rsid w:val="00531D08"/>
    <w:rsid w:val="00531DAD"/>
    <w:rsid w:val="00531E27"/>
    <w:rsid w:val="005341DA"/>
    <w:rsid w:val="00534CEE"/>
    <w:rsid w:val="00535163"/>
    <w:rsid w:val="00535731"/>
    <w:rsid w:val="00536C42"/>
    <w:rsid w:val="00537600"/>
    <w:rsid w:val="00537B40"/>
    <w:rsid w:val="00540241"/>
    <w:rsid w:val="00540FDF"/>
    <w:rsid w:val="00541C5C"/>
    <w:rsid w:val="0054375B"/>
    <w:rsid w:val="00545433"/>
    <w:rsid w:val="00545755"/>
    <w:rsid w:val="00546181"/>
    <w:rsid w:val="005463ED"/>
    <w:rsid w:val="00546CB7"/>
    <w:rsid w:val="0054747F"/>
    <w:rsid w:val="00551B89"/>
    <w:rsid w:val="00555DC4"/>
    <w:rsid w:val="005646A4"/>
    <w:rsid w:val="005651BD"/>
    <w:rsid w:val="005659C5"/>
    <w:rsid w:val="0057001E"/>
    <w:rsid w:val="00570241"/>
    <w:rsid w:val="0057190A"/>
    <w:rsid w:val="00574389"/>
    <w:rsid w:val="005816A8"/>
    <w:rsid w:val="00581793"/>
    <w:rsid w:val="00581E8A"/>
    <w:rsid w:val="00582372"/>
    <w:rsid w:val="00584242"/>
    <w:rsid w:val="00585EDB"/>
    <w:rsid w:val="0058760F"/>
    <w:rsid w:val="00590213"/>
    <w:rsid w:val="005903B3"/>
    <w:rsid w:val="00590A4E"/>
    <w:rsid w:val="005955F9"/>
    <w:rsid w:val="00597649"/>
    <w:rsid w:val="005A020C"/>
    <w:rsid w:val="005A19F9"/>
    <w:rsid w:val="005A3C03"/>
    <w:rsid w:val="005A4B49"/>
    <w:rsid w:val="005B13E8"/>
    <w:rsid w:val="005B1E15"/>
    <w:rsid w:val="005B35C3"/>
    <w:rsid w:val="005B499C"/>
    <w:rsid w:val="005B5F91"/>
    <w:rsid w:val="005B62B8"/>
    <w:rsid w:val="005B6F4C"/>
    <w:rsid w:val="005B7055"/>
    <w:rsid w:val="005C09F4"/>
    <w:rsid w:val="005C37EC"/>
    <w:rsid w:val="005C3A25"/>
    <w:rsid w:val="005C3B87"/>
    <w:rsid w:val="005C5B87"/>
    <w:rsid w:val="005C63D5"/>
    <w:rsid w:val="005C6B91"/>
    <w:rsid w:val="005C7122"/>
    <w:rsid w:val="005C772E"/>
    <w:rsid w:val="005C7F26"/>
    <w:rsid w:val="005D004C"/>
    <w:rsid w:val="005D1820"/>
    <w:rsid w:val="005D2625"/>
    <w:rsid w:val="005D4D11"/>
    <w:rsid w:val="005D52C1"/>
    <w:rsid w:val="005D5CEE"/>
    <w:rsid w:val="005D612C"/>
    <w:rsid w:val="005D7969"/>
    <w:rsid w:val="005E004E"/>
    <w:rsid w:val="005E013D"/>
    <w:rsid w:val="005E17D3"/>
    <w:rsid w:val="005E2689"/>
    <w:rsid w:val="005E41FD"/>
    <w:rsid w:val="005F1500"/>
    <w:rsid w:val="005F2012"/>
    <w:rsid w:val="005F2162"/>
    <w:rsid w:val="005F2AA1"/>
    <w:rsid w:val="005F2AC1"/>
    <w:rsid w:val="005F31E9"/>
    <w:rsid w:val="005F50ED"/>
    <w:rsid w:val="005F55A1"/>
    <w:rsid w:val="005F6247"/>
    <w:rsid w:val="005F756D"/>
    <w:rsid w:val="005F75FE"/>
    <w:rsid w:val="005F7850"/>
    <w:rsid w:val="005F7BF5"/>
    <w:rsid w:val="00600117"/>
    <w:rsid w:val="00600E17"/>
    <w:rsid w:val="00600F89"/>
    <w:rsid w:val="0060330E"/>
    <w:rsid w:val="006059E9"/>
    <w:rsid w:val="00606578"/>
    <w:rsid w:val="006072A6"/>
    <w:rsid w:val="00610591"/>
    <w:rsid w:val="006115B3"/>
    <w:rsid w:val="0061229C"/>
    <w:rsid w:val="00612527"/>
    <w:rsid w:val="00614953"/>
    <w:rsid w:val="00615355"/>
    <w:rsid w:val="00615AC9"/>
    <w:rsid w:val="00615C9F"/>
    <w:rsid w:val="00615D0C"/>
    <w:rsid w:val="00615ECB"/>
    <w:rsid w:val="00616139"/>
    <w:rsid w:val="00617586"/>
    <w:rsid w:val="006177F2"/>
    <w:rsid w:val="00617D5C"/>
    <w:rsid w:val="00620913"/>
    <w:rsid w:val="00620AD2"/>
    <w:rsid w:val="00621E99"/>
    <w:rsid w:val="00623C1C"/>
    <w:rsid w:val="00624459"/>
    <w:rsid w:val="00626167"/>
    <w:rsid w:val="006301CA"/>
    <w:rsid w:val="00630290"/>
    <w:rsid w:val="00630734"/>
    <w:rsid w:val="0063144B"/>
    <w:rsid w:val="00631D56"/>
    <w:rsid w:val="00632052"/>
    <w:rsid w:val="006342C5"/>
    <w:rsid w:val="0063639F"/>
    <w:rsid w:val="0063658C"/>
    <w:rsid w:val="006374B9"/>
    <w:rsid w:val="006408E8"/>
    <w:rsid w:val="006411E7"/>
    <w:rsid w:val="00641837"/>
    <w:rsid w:val="00642213"/>
    <w:rsid w:val="00643CC5"/>
    <w:rsid w:val="00644FD6"/>
    <w:rsid w:val="006474D2"/>
    <w:rsid w:val="00650783"/>
    <w:rsid w:val="00654662"/>
    <w:rsid w:val="00657F0B"/>
    <w:rsid w:val="0066084C"/>
    <w:rsid w:val="00661195"/>
    <w:rsid w:val="00662010"/>
    <w:rsid w:val="006626DC"/>
    <w:rsid w:val="00662DB1"/>
    <w:rsid w:val="00664C30"/>
    <w:rsid w:val="00665287"/>
    <w:rsid w:val="006653CE"/>
    <w:rsid w:val="006702F4"/>
    <w:rsid w:val="006715B0"/>
    <w:rsid w:val="00671DA4"/>
    <w:rsid w:val="00672012"/>
    <w:rsid w:val="006749BD"/>
    <w:rsid w:val="006769C5"/>
    <w:rsid w:val="0068196A"/>
    <w:rsid w:val="006835C5"/>
    <w:rsid w:val="00683E96"/>
    <w:rsid w:val="0068733A"/>
    <w:rsid w:val="00691689"/>
    <w:rsid w:val="0069398B"/>
    <w:rsid w:val="00693B89"/>
    <w:rsid w:val="00694AD9"/>
    <w:rsid w:val="006953D6"/>
    <w:rsid w:val="00695584"/>
    <w:rsid w:val="00695799"/>
    <w:rsid w:val="00696584"/>
    <w:rsid w:val="006A088B"/>
    <w:rsid w:val="006A142B"/>
    <w:rsid w:val="006A1BFE"/>
    <w:rsid w:val="006A2182"/>
    <w:rsid w:val="006A31C6"/>
    <w:rsid w:val="006A3AD4"/>
    <w:rsid w:val="006A6E71"/>
    <w:rsid w:val="006A6F56"/>
    <w:rsid w:val="006A7080"/>
    <w:rsid w:val="006A71AB"/>
    <w:rsid w:val="006A7308"/>
    <w:rsid w:val="006A76E6"/>
    <w:rsid w:val="006B0621"/>
    <w:rsid w:val="006B09AF"/>
    <w:rsid w:val="006B19D3"/>
    <w:rsid w:val="006B1B13"/>
    <w:rsid w:val="006B41FE"/>
    <w:rsid w:val="006B4323"/>
    <w:rsid w:val="006B476E"/>
    <w:rsid w:val="006B5746"/>
    <w:rsid w:val="006B6C3C"/>
    <w:rsid w:val="006B777E"/>
    <w:rsid w:val="006B7A18"/>
    <w:rsid w:val="006B7F73"/>
    <w:rsid w:val="006C0586"/>
    <w:rsid w:val="006C079E"/>
    <w:rsid w:val="006C2330"/>
    <w:rsid w:val="006C41A5"/>
    <w:rsid w:val="006C427C"/>
    <w:rsid w:val="006C4D50"/>
    <w:rsid w:val="006C6F24"/>
    <w:rsid w:val="006C7903"/>
    <w:rsid w:val="006D1A64"/>
    <w:rsid w:val="006D1D36"/>
    <w:rsid w:val="006D325B"/>
    <w:rsid w:val="006D3BB1"/>
    <w:rsid w:val="006D5943"/>
    <w:rsid w:val="006D5E00"/>
    <w:rsid w:val="006D6A18"/>
    <w:rsid w:val="006D6C37"/>
    <w:rsid w:val="006E0D45"/>
    <w:rsid w:val="006E1190"/>
    <w:rsid w:val="006E11A5"/>
    <w:rsid w:val="006E1BA0"/>
    <w:rsid w:val="006E1FC1"/>
    <w:rsid w:val="006E2ABB"/>
    <w:rsid w:val="006E408D"/>
    <w:rsid w:val="006E5665"/>
    <w:rsid w:val="006E62ED"/>
    <w:rsid w:val="006E69A0"/>
    <w:rsid w:val="006E74FA"/>
    <w:rsid w:val="006F0822"/>
    <w:rsid w:val="006F0B2D"/>
    <w:rsid w:val="006F10AE"/>
    <w:rsid w:val="006F10CB"/>
    <w:rsid w:val="006F166F"/>
    <w:rsid w:val="006F1AB9"/>
    <w:rsid w:val="006F2DFF"/>
    <w:rsid w:val="006F420F"/>
    <w:rsid w:val="006F466D"/>
    <w:rsid w:val="006F484D"/>
    <w:rsid w:val="006F5668"/>
    <w:rsid w:val="006F58A2"/>
    <w:rsid w:val="006F6132"/>
    <w:rsid w:val="006F6E19"/>
    <w:rsid w:val="0070041C"/>
    <w:rsid w:val="007004A1"/>
    <w:rsid w:val="0070059B"/>
    <w:rsid w:val="00700DBE"/>
    <w:rsid w:val="00702562"/>
    <w:rsid w:val="0070310F"/>
    <w:rsid w:val="007036F1"/>
    <w:rsid w:val="00707305"/>
    <w:rsid w:val="0071032A"/>
    <w:rsid w:val="00710C55"/>
    <w:rsid w:val="00711654"/>
    <w:rsid w:val="0071228E"/>
    <w:rsid w:val="00712E2E"/>
    <w:rsid w:val="007145E5"/>
    <w:rsid w:val="00714D0D"/>
    <w:rsid w:val="007155A9"/>
    <w:rsid w:val="00715A07"/>
    <w:rsid w:val="00715BB4"/>
    <w:rsid w:val="007202C8"/>
    <w:rsid w:val="00721173"/>
    <w:rsid w:val="00724077"/>
    <w:rsid w:val="00724C3A"/>
    <w:rsid w:val="00724DFF"/>
    <w:rsid w:val="007273AD"/>
    <w:rsid w:val="00727A10"/>
    <w:rsid w:val="00730B5F"/>
    <w:rsid w:val="00730F9C"/>
    <w:rsid w:val="0073132C"/>
    <w:rsid w:val="00732F4F"/>
    <w:rsid w:val="007333BC"/>
    <w:rsid w:val="00733989"/>
    <w:rsid w:val="0073520E"/>
    <w:rsid w:val="00735CAE"/>
    <w:rsid w:val="007366FC"/>
    <w:rsid w:val="007370B0"/>
    <w:rsid w:val="00737116"/>
    <w:rsid w:val="00740EAF"/>
    <w:rsid w:val="0074104D"/>
    <w:rsid w:val="007414FB"/>
    <w:rsid w:val="00741CCE"/>
    <w:rsid w:val="00741F66"/>
    <w:rsid w:val="00742AA7"/>
    <w:rsid w:val="00742F3A"/>
    <w:rsid w:val="00742F64"/>
    <w:rsid w:val="00744E4A"/>
    <w:rsid w:val="00744E65"/>
    <w:rsid w:val="007452ED"/>
    <w:rsid w:val="00746483"/>
    <w:rsid w:val="00746D95"/>
    <w:rsid w:val="00747249"/>
    <w:rsid w:val="0075005D"/>
    <w:rsid w:val="00753687"/>
    <w:rsid w:val="007551E0"/>
    <w:rsid w:val="007563DE"/>
    <w:rsid w:val="00761275"/>
    <w:rsid w:val="00762256"/>
    <w:rsid w:val="007641FC"/>
    <w:rsid w:val="007647D6"/>
    <w:rsid w:val="0076584E"/>
    <w:rsid w:val="0076776A"/>
    <w:rsid w:val="00770CBC"/>
    <w:rsid w:val="0077150C"/>
    <w:rsid w:val="00771B09"/>
    <w:rsid w:val="00772880"/>
    <w:rsid w:val="00772C27"/>
    <w:rsid w:val="00773733"/>
    <w:rsid w:val="00775E91"/>
    <w:rsid w:val="007762C1"/>
    <w:rsid w:val="00776901"/>
    <w:rsid w:val="0078050B"/>
    <w:rsid w:val="007805C5"/>
    <w:rsid w:val="00780AEB"/>
    <w:rsid w:val="0078245B"/>
    <w:rsid w:val="00784428"/>
    <w:rsid w:val="00785B5F"/>
    <w:rsid w:val="00785BAA"/>
    <w:rsid w:val="00786248"/>
    <w:rsid w:val="007864E2"/>
    <w:rsid w:val="007920D6"/>
    <w:rsid w:val="0079220B"/>
    <w:rsid w:val="007929B5"/>
    <w:rsid w:val="00792EAF"/>
    <w:rsid w:val="00793F3B"/>
    <w:rsid w:val="00794918"/>
    <w:rsid w:val="00795174"/>
    <w:rsid w:val="007951A1"/>
    <w:rsid w:val="007956DB"/>
    <w:rsid w:val="00795D66"/>
    <w:rsid w:val="00797361"/>
    <w:rsid w:val="007A0242"/>
    <w:rsid w:val="007A0B97"/>
    <w:rsid w:val="007A267E"/>
    <w:rsid w:val="007A3A58"/>
    <w:rsid w:val="007A3ABD"/>
    <w:rsid w:val="007A4094"/>
    <w:rsid w:val="007A5C43"/>
    <w:rsid w:val="007A5D43"/>
    <w:rsid w:val="007A7D1B"/>
    <w:rsid w:val="007B0AA0"/>
    <w:rsid w:val="007B5021"/>
    <w:rsid w:val="007B64DA"/>
    <w:rsid w:val="007B78F9"/>
    <w:rsid w:val="007C1C1A"/>
    <w:rsid w:val="007C2087"/>
    <w:rsid w:val="007C210A"/>
    <w:rsid w:val="007C394E"/>
    <w:rsid w:val="007C4FD6"/>
    <w:rsid w:val="007C5C06"/>
    <w:rsid w:val="007D0CF2"/>
    <w:rsid w:val="007D180A"/>
    <w:rsid w:val="007D2668"/>
    <w:rsid w:val="007D52CF"/>
    <w:rsid w:val="007D5AB0"/>
    <w:rsid w:val="007D5DC5"/>
    <w:rsid w:val="007D64A3"/>
    <w:rsid w:val="007E0669"/>
    <w:rsid w:val="007E1517"/>
    <w:rsid w:val="007E2A62"/>
    <w:rsid w:val="007E2E4A"/>
    <w:rsid w:val="007E35EF"/>
    <w:rsid w:val="007E4C6D"/>
    <w:rsid w:val="007E4D23"/>
    <w:rsid w:val="007E5108"/>
    <w:rsid w:val="007E5FC4"/>
    <w:rsid w:val="007E7687"/>
    <w:rsid w:val="007E7D75"/>
    <w:rsid w:val="007F2A5B"/>
    <w:rsid w:val="007F372E"/>
    <w:rsid w:val="007F52FF"/>
    <w:rsid w:val="00800063"/>
    <w:rsid w:val="00801972"/>
    <w:rsid w:val="00801F9B"/>
    <w:rsid w:val="00802E30"/>
    <w:rsid w:val="00803350"/>
    <w:rsid w:val="008042F4"/>
    <w:rsid w:val="00805D03"/>
    <w:rsid w:val="00806C72"/>
    <w:rsid w:val="00806CD5"/>
    <w:rsid w:val="008073EF"/>
    <w:rsid w:val="008102AA"/>
    <w:rsid w:val="008103CF"/>
    <w:rsid w:val="00810B83"/>
    <w:rsid w:val="00811507"/>
    <w:rsid w:val="0081499D"/>
    <w:rsid w:val="008150EF"/>
    <w:rsid w:val="0081599F"/>
    <w:rsid w:val="00815F74"/>
    <w:rsid w:val="0081747A"/>
    <w:rsid w:val="00817823"/>
    <w:rsid w:val="00820380"/>
    <w:rsid w:val="00820F29"/>
    <w:rsid w:val="008220D8"/>
    <w:rsid w:val="008224C1"/>
    <w:rsid w:val="00822752"/>
    <w:rsid w:val="0082280A"/>
    <w:rsid w:val="00823D83"/>
    <w:rsid w:val="00824CF5"/>
    <w:rsid w:val="00825816"/>
    <w:rsid w:val="00826A0D"/>
    <w:rsid w:val="00826D37"/>
    <w:rsid w:val="00827DE7"/>
    <w:rsid w:val="00833CC3"/>
    <w:rsid w:val="00833EAF"/>
    <w:rsid w:val="00834012"/>
    <w:rsid w:val="00834089"/>
    <w:rsid w:val="008345C4"/>
    <w:rsid w:val="00835127"/>
    <w:rsid w:val="00840507"/>
    <w:rsid w:val="00841713"/>
    <w:rsid w:val="00841E3C"/>
    <w:rsid w:val="00842D07"/>
    <w:rsid w:val="00844BBA"/>
    <w:rsid w:val="008475FD"/>
    <w:rsid w:val="00850C8F"/>
    <w:rsid w:val="00852F11"/>
    <w:rsid w:val="0085340A"/>
    <w:rsid w:val="00854106"/>
    <w:rsid w:val="00854554"/>
    <w:rsid w:val="00854B94"/>
    <w:rsid w:val="00854F95"/>
    <w:rsid w:val="00856106"/>
    <w:rsid w:val="00856B6F"/>
    <w:rsid w:val="00861C75"/>
    <w:rsid w:val="00863BBB"/>
    <w:rsid w:val="00864BDC"/>
    <w:rsid w:val="0086555E"/>
    <w:rsid w:val="00865FDE"/>
    <w:rsid w:val="00866596"/>
    <w:rsid w:val="00866C9F"/>
    <w:rsid w:val="00872E71"/>
    <w:rsid w:val="0087363E"/>
    <w:rsid w:val="00874CEA"/>
    <w:rsid w:val="00875EC7"/>
    <w:rsid w:val="00876FCA"/>
    <w:rsid w:val="00882FD5"/>
    <w:rsid w:val="008870DC"/>
    <w:rsid w:val="008873FE"/>
    <w:rsid w:val="008877CE"/>
    <w:rsid w:val="0089148D"/>
    <w:rsid w:val="00891716"/>
    <w:rsid w:val="00892636"/>
    <w:rsid w:val="00892A9A"/>
    <w:rsid w:val="00894440"/>
    <w:rsid w:val="0089482A"/>
    <w:rsid w:val="00896948"/>
    <w:rsid w:val="00897705"/>
    <w:rsid w:val="00897D23"/>
    <w:rsid w:val="008A099C"/>
    <w:rsid w:val="008A222D"/>
    <w:rsid w:val="008A3FB6"/>
    <w:rsid w:val="008A496E"/>
    <w:rsid w:val="008A6FCF"/>
    <w:rsid w:val="008A7EDC"/>
    <w:rsid w:val="008B1CCF"/>
    <w:rsid w:val="008B341A"/>
    <w:rsid w:val="008B4FE1"/>
    <w:rsid w:val="008B68EA"/>
    <w:rsid w:val="008B72E6"/>
    <w:rsid w:val="008C074B"/>
    <w:rsid w:val="008C0C69"/>
    <w:rsid w:val="008C2154"/>
    <w:rsid w:val="008C265F"/>
    <w:rsid w:val="008C3DD3"/>
    <w:rsid w:val="008C68A0"/>
    <w:rsid w:val="008C6CA4"/>
    <w:rsid w:val="008C78FC"/>
    <w:rsid w:val="008D0207"/>
    <w:rsid w:val="008D08F8"/>
    <w:rsid w:val="008D22CE"/>
    <w:rsid w:val="008D32FC"/>
    <w:rsid w:val="008D33F2"/>
    <w:rsid w:val="008D389F"/>
    <w:rsid w:val="008D39BC"/>
    <w:rsid w:val="008D43B5"/>
    <w:rsid w:val="008D4656"/>
    <w:rsid w:val="008D495E"/>
    <w:rsid w:val="008D4D97"/>
    <w:rsid w:val="008D6D9C"/>
    <w:rsid w:val="008D71D1"/>
    <w:rsid w:val="008D7B68"/>
    <w:rsid w:val="008E03FD"/>
    <w:rsid w:val="008E0795"/>
    <w:rsid w:val="008E0CCC"/>
    <w:rsid w:val="008E0D9B"/>
    <w:rsid w:val="008E140C"/>
    <w:rsid w:val="008E23F5"/>
    <w:rsid w:val="008E2DC1"/>
    <w:rsid w:val="008E6E10"/>
    <w:rsid w:val="008E7FC6"/>
    <w:rsid w:val="008F0579"/>
    <w:rsid w:val="008F0FE9"/>
    <w:rsid w:val="008F1E28"/>
    <w:rsid w:val="008F24D3"/>
    <w:rsid w:val="008F3D81"/>
    <w:rsid w:val="00900401"/>
    <w:rsid w:val="00900B40"/>
    <w:rsid w:val="009022DB"/>
    <w:rsid w:val="00903388"/>
    <w:rsid w:val="0090559B"/>
    <w:rsid w:val="009059BC"/>
    <w:rsid w:val="00905B87"/>
    <w:rsid w:val="00905FA7"/>
    <w:rsid w:val="00907A43"/>
    <w:rsid w:val="009106AB"/>
    <w:rsid w:val="0091088B"/>
    <w:rsid w:val="0091139D"/>
    <w:rsid w:val="00911FA5"/>
    <w:rsid w:val="009125B4"/>
    <w:rsid w:val="009152C2"/>
    <w:rsid w:val="00915A97"/>
    <w:rsid w:val="00917035"/>
    <w:rsid w:val="009211BA"/>
    <w:rsid w:val="00923B25"/>
    <w:rsid w:val="00925DF3"/>
    <w:rsid w:val="00925EED"/>
    <w:rsid w:val="00926C65"/>
    <w:rsid w:val="00926CC1"/>
    <w:rsid w:val="009337F0"/>
    <w:rsid w:val="00935614"/>
    <w:rsid w:val="00935ABE"/>
    <w:rsid w:val="0093621F"/>
    <w:rsid w:val="0093696E"/>
    <w:rsid w:val="00937EDD"/>
    <w:rsid w:val="00940734"/>
    <w:rsid w:val="0094078F"/>
    <w:rsid w:val="00941C66"/>
    <w:rsid w:val="00941E9D"/>
    <w:rsid w:val="00941F81"/>
    <w:rsid w:val="00942C8B"/>
    <w:rsid w:val="00943835"/>
    <w:rsid w:val="00944BCD"/>
    <w:rsid w:val="00944FBA"/>
    <w:rsid w:val="00950216"/>
    <w:rsid w:val="009508AF"/>
    <w:rsid w:val="00950C75"/>
    <w:rsid w:val="00952793"/>
    <w:rsid w:val="00953C46"/>
    <w:rsid w:val="00955A04"/>
    <w:rsid w:val="00956122"/>
    <w:rsid w:val="0095639C"/>
    <w:rsid w:val="009600BF"/>
    <w:rsid w:val="00964261"/>
    <w:rsid w:val="00965A12"/>
    <w:rsid w:val="00965FA9"/>
    <w:rsid w:val="00966743"/>
    <w:rsid w:val="00970354"/>
    <w:rsid w:val="009704BB"/>
    <w:rsid w:val="00971634"/>
    <w:rsid w:val="00971670"/>
    <w:rsid w:val="00971789"/>
    <w:rsid w:val="00971C45"/>
    <w:rsid w:val="00972A0C"/>
    <w:rsid w:val="00975AF7"/>
    <w:rsid w:val="009810EC"/>
    <w:rsid w:val="00981E87"/>
    <w:rsid w:val="009865D6"/>
    <w:rsid w:val="00987C7C"/>
    <w:rsid w:val="00987FCE"/>
    <w:rsid w:val="009901BE"/>
    <w:rsid w:val="00990CAA"/>
    <w:rsid w:val="0099292B"/>
    <w:rsid w:val="00993BA7"/>
    <w:rsid w:val="00993BB8"/>
    <w:rsid w:val="009944D5"/>
    <w:rsid w:val="00994602"/>
    <w:rsid w:val="00994E57"/>
    <w:rsid w:val="00996B79"/>
    <w:rsid w:val="009978B2"/>
    <w:rsid w:val="009A293E"/>
    <w:rsid w:val="009A2C26"/>
    <w:rsid w:val="009A409E"/>
    <w:rsid w:val="009A4670"/>
    <w:rsid w:val="009A5407"/>
    <w:rsid w:val="009A79B6"/>
    <w:rsid w:val="009B020C"/>
    <w:rsid w:val="009B0AE8"/>
    <w:rsid w:val="009B1504"/>
    <w:rsid w:val="009B1C30"/>
    <w:rsid w:val="009B4F0B"/>
    <w:rsid w:val="009B5732"/>
    <w:rsid w:val="009B5BB4"/>
    <w:rsid w:val="009B6604"/>
    <w:rsid w:val="009B78CA"/>
    <w:rsid w:val="009C1186"/>
    <w:rsid w:val="009C1C2B"/>
    <w:rsid w:val="009C1CD5"/>
    <w:rsid w:val="009C24DA"/>
    <w:rsid w:val="009C4620"/>
    <w:rsid w:val="009C565E"/>
    <w:rsid w:val="009C5EA1"/>
    <w:rsid w:val="009D1204"/>
    <w:rsid w:val="009D20FB"/>
    <w:rsid w:val="009D29D1"/>
    <w:rsid w:val="009D6DE5"/>
    <w:rsid w:val="009E1B79"/>
    <w:rsid w:val="009E2460"/>
    <w:rsid w:val="009E341A"/>
    <w:rsid w:val="009E3B5F"/>
    <w:rsid w:val="009E3BFD"/>
    <w:rsid w:val="009F0FB3"/>
    <w:rsid w:val="009F31DB"/>
    <w:rsid w:val="009F442D"/>
    <w:rsid w:val="009F5760"/>
    <w:rsid w:val="009F5E80"/>
    <w:rsid w:val="00A010AF"/>
    <w:rsid w:val="00A0146B"/>
    <w:rsid w:val="00A01D78"/>
    <w:rsid w:val="00A022FA"/>
    <w:rsid w:val="00A02412"/>
    <w:rsid w:val="00A050BB"/>
    <w:rsid w:val="00A053BE"/>
    <w:rsid w:val="00A10BFA"/>
    <w:rsid w:val="00A129EC"/>
    <w:rsid w:val="00A139A0"/>
    <w:rsid w:val="00A13C76"/>
    <w:rsid w:val="00A14785"/>
    <w:rsid w:val="00A16307"/>
    <w:rsid w:val="00A16375"/>
    <w:rsid w:val="00A16CB1"/>
    <w:rsid w:val="00A219AC"/>
    <w:rsid w:val="00A2252B"/>
    <w:rsid w:val="00A22DD7"/>
    <w:rsid w:val="00A2580D"/>
    <w:rsid w:val="00A26F63"/>
    <w:rsid w:val="00A32AEB"/>
    <w:rsid w:val="00A3318B"/>
    <w:rsid w:val="00A34389"/>
    <w:rsid w:val="00A36C0E"/>
    <w:rsid w:val="00A37828"/>
    <w:rsid w:val="00A42540"/>
    <w:rsid w:val="00A42E81"/>
    <w:rsid w:val="00A44E57"/>
    <w:rsid w:val="00A4720B"/>
    <w:rsid w:val="00A521D4"/>
    <w:rsid w:val="00A53EDA"/>
    <w:rsid w:val="00A54F6F"/>
    <w:rsid w:val="00A5761F"/>
    <w:rsid w:val="00A601C2"/>
    <w:rsid w:val="00A60246"/>
    <w:rsid w:val="00A6092F"/>
    <w:rsid w:val="00A6150E"/>
    <w:rsid w:val="00A623FA"/>
    <w:rsid w:val="00A63062"/>
    <w:rsid w:val="00A631FF"/>
    <w:rsid w:val="00A656AC"/>
    <w:rsid w:val="00A65C95"/>
    <w:rsid w:val="00A674E4"/>
    <w:rsid w:val="00A67819"/>
    <w:rsid w:val="00A70A20"/>
    <w:rsid w:val="00A70EBC"/>
    <w:rsid w:val="00A723FF"/>
    <w:rsid w:val="00A73487"/>
    <w:rsid w:val="00A7397C"/>
    <w:rsid w:val="00A73AEB"/>
    <w:rsid w:val="00A741EC"/>
    <w:rsid w:val="00A75949"/>
    <w:rsid w:val="00A75A06"/>
    <w:rsid w:val="00A75E78"/>
    <w:rsid w:val="00A77D6C"/>
    <w:rsid w:val="00A81476"/>
    <w:rsid w:val="00A81B3D"/>
    <w:rsid w:val="00A832F3"/>
    <w:rsid w:val="00A83A40"/>
    <w:rsid w:val="00A85299"/>
    <w:rsid w:val="00A86FA6"/>
    <w:rsid w:val="00A87F7D"/>
    <w:rsid w:val="00A9068E"/>
    <w:rsid w:val="00A934C4"/>
    <w:rsid w:val="00A95D33"/>
    <w:rsid w:val="00AA10FB"/>
    <w:rsid w:val="00AA3248"/>
    <w:rsid w:val="00AA364C"/>
    <w:rsid w:val="00AA4424"/>
    <w:rsid w:val="00AA5905"/>
    <w:rsid w:val="00AA7134"/>
    <w:rsid w:val="00AB0336"/>
    <w:rsid w:val="00AB0375"/>
    <w:rsid w:val="00AB493D"/>
    <w:rsid w:val="00AB5D50"/>
    <w:rsid w:val="00AB6525"/>
    <w:rsid w:val="00AB789C"/>
    <w:rsid w:val="00AC3FA9"/>
    <w:rsid w:val="00AC4A9B"/>
    <w:rsid w:val="00AC66BD"/>
    <w:rsid w:val="00AC6BB1"/>
    <w:rsid w:val="00AC7384"/>
    <w:rsid w:val="00AD1062"/>
    <w:rsid w:val="00AD15EA"/>
    <w:rsid w:val="00AD187E"/>
    <w:rsid w:val="00AD3429"/>
    <w:rsid w:val="00AD4584"/>
    <w:rsid w:val="00AD4612"/>
    <w:rsid w:val="00AD4D7D"/>
    <w:rsid w:val="00AD6C9A"/>
    <w:rsid w:val="00AD7239"/>
    <w:rsid w:val="00AD739F"/>
    <w:rsid w:val="00AE0065"/>
    <w:rsid w:val="00AE1197"/>
    <w:rsid w:val="00AE16EB"/>
    <w:rsid w:val="00AE2983"/>
    <w:rsid w:val="00AE45DD"/>
    <w:rsid w:val="00AE61CB"/>
    <w:rsid w:val="00AE68DC"/>
    <w:rsid w:val="00AF04AA"/>
    <w:rsid w:val="00AF1909"/>
    <w:rsid w:val="00AF2FAA"/>
    <w:rsid w:val="00AF4D3B"/>
    <w:rsid w:val="00AF508E"/>
    <w:rsid w:val="00AF6817"/>
    <w:rsid w:val="00B007C0"/>
    <w:rsid w:val="00B028E0"/>
    <w:rsid w:val="00B02AF9"/>
    <w:rsid w:val="00B04035"/>
    <w:rsid w:val="00B0474B"/>
    <w:rsid w:val="00B04815"/>
    <w:rsid w:val="00B057B9"/>
    <w:rsid w:val="00B07FA3"/>
    <w:rsid w:val="00B10EA2"/>
    <w:rsid w:val="00B114FC"/>
    <w:rsid w:val="00B12B75"/>
    <w:rsid w:val="00B12D64"/>
    <w:rsid w:val="00B14B2E"/>
    <w:rsid w:val="00B14B7D"/>
    <w:rsid w:val="00B14E63"/>
    <w:rsid w:val="00B16F61"/>
    <w:rsid w:val="00B20DA8"/>
    <w:rsid w:val="00B2207F"/>
    <w:rsid w:val="00B2250A"/>
    <w:rsid w:val="00B234AB"/>
    <w:rsid w:val="00B24F64"/>
    <w:rsid w:val="00B26790"/>
    <w:rsid w:val="00B2763E"/>
    <w:rsid w:val="00B30DAF"/>
    <w:rsid w:val="00B32492"/>
    <w:rsid w:val="00B33628"/>
    <w:rsid w:val="00B42F10"/>
    <w:rsid w:val="00B43AF3"/>
    <w:rsid w:val="00B43E54"/>
    <w:rsid w:val="00B457B2"/>
    <w:rsid w:val="00B4624C"/>
    <w:rsid w:val="00B46C5B"/>
    <w:rsid w:val="00B46D8B"/>
    <w:rsid w:val="00B47C41"/>
    <w:rsid w:val="00B5107A"/>
    <w:rsid w:val="00B52215"/>
    <w:rsid w:val="00B52524"/>
    <w:rsid w:val="00B529E6"/>
    <w:rsid w:val="00B52B9B"/>
    <w:rsid w:val="00B558AA"/>
    <w:rsid w:val="00B563FE"/>
    <w:rsid w:val="00B57247"/>
    <w:rsid w:val="00B5770A"/>
    <w:rsid w:val="00B61159"/>
    <w:rsid w:val="00B61E42"/>
    <w:rsid w:val="00B62467"/>
    <w:rsid w:val="00B62EF8"/>
    <w:rsid w:val="00B6343C"/>
    <w:rsid w:val="00B65383"/>
    <w:rsid w:val="00B71E66"/>
    <w:rsid w:val="00B72550"/>
    <w:rsid w:val="00B726FC"/>
    <w:rsid w:val="00B72BF4"/>
    <w:rsid w:val="00B73D07"/>
    <w:rsid w:val="00B74AE1"/>
    <w:rsid w:val="00B74C15"/>
    <w:rsid w:val="00B74FDE"/>
    <w:rsid w:val="00B7522C"/>
    <w:rsid w:val="00B756FF"/>
    <w:rsid w:val="00B76B33"/>
    <w:rsid w:val="00B7734A"/>
    <w:rsid w:val="00B77386"/>
    <w:rsid w:val="00B841A5"/>
    <w:rsid w:val="00B845FF"/>
    <w:rsid w:val="00B84AE8"/>
    <w:rsid w:val="00B92DF4"/>
    <w:rsid w:val="00B93134"/>
    <w:rsid w:val="00B93742"/>
    <w:rsid w:val="00B9550F"/>
    <w:rsid w:val="00B9560F"/>
    <w:rsid w:val="00B95E2D"/>
    <w:rsid w:val="00B961FE"/>
    <w:rsid w:val="00B968B4"/>
    <w:rsid w:val="00B97682"/>
    <w:rsid w:val="00BA164E"/>
    <w:rsid w:val="00BA3EE9"/>
    <w:rsid w:val="00BA449E"/>
    <w:rsid w:val="00BA5727"/>
    <w:rsid w:val="00BA61FD"/>
    <w:rsid w:val="00BA6A0C"/>
    <w:rsid w:val="00BA6F88"/>
    <w:rsid w:val="00BB0C12"/>
    <w:rsid w:val="00BB0C2F"/>
    <w:rsid w:val="00BB13F5"/>
    <w:rsid w:val="00BB2DED"/>
    <w:rsid w:val="00BB65E0"/>
    <w:rsid w:val="00BB663D"/>
    <w:rsid w:val="00BB72E2"/>
    <w:rsid w:val="00BB76C8"/>
    <w:rsid w:val="00BB7EBC"/>
    <w:rsid w:val="00BC16B8"/>
    <w:rsid w:val="00BC1A2A"/>
    <w:rsid w:val="00BC1A56"/>
    <w:rsid w:val="00BC2302"/>
    <w:rsid w:val="00BC28E4"/>
    <w:rsid w:val="00BC3061"/>
    <w:rsid w:val="00BC3373"/>
    <w:rsid w:val="00BC5EBB"/>
    <w:rsid w:val="00BC6036"/>
    <w:rsid w:val="00BC76B5"/>
    <w:rsid w:val="00BD1CE7"/>
    <w:rsid w:val="00BD275F"/>
    <w:rsid w:val="00BD73AD"/>
    <w:rsid w:val="00BD7ACD"/>
    <w:rsid w:val="00BD7C29"/>
    <w:rsid w:val="00BE15F1"/>
    <w:rsid w:val="00BE2BE1"/>
    <w:rsid w:val="00BE3A17"/>
    <w:rsid w:val="00BE3D14"/>
    <w:rsid w:val="00BE568B"/>
    <w:rsid w:val="00BE7D2E"/>
    <w:rsid w:val="00BF005E"/>
    <w:rsid w:val="00BF01D0"/>
    <w:rsid w:val="00BF13BE"/>
    <w:rsid w:val="00BF3782"/>
    <w:rsid w:val="00BF4776"/>
    <w:rsid w:val="00BF56F9"/>
    <w:rsid w:val="00BF6CF4"/>
    <w:rsid w:val="00C01195"/>
    <w:rsid w:val="00C02D1A"/>
    <w:rsid w:val="00C02FA9"/>
    <w:rsid w:val="00C03F46"/>
    <w:rsid w:val="00C04027"/>
    <w:rsid w:val="00C04765"/>
    <w:rsid w:val="00C04A77"/>
    <w:rsid w:val="00C05F18"/>
    <w:rsid w:val="00C07451"/>
    <w:rsid w:val="00C07841"/>
    <w:rsid w:val="00C07F4D"/>
    <w:rsid w:val="00C110EE"/>
    <w:rsid w:val="00C13900"/>
    <w:rsid w:val="00C148B4"/>
    <w:rsid w:val="00C15278"/>
    <w:rsid w:val="00C172A6"/>
    <w:rsid w:val="00C17B9A"/>
    <w:rsid w:val="00C17BA4"/>
    <w:rsid w:val="00C21BAF"/>
    <w:rsid w:val="00C229DC"/>
    <w:rsid w:val="00C22B62"/>
    <w:rsid w:val="00C23880"/>
    <w:rsid w:val="00C25AB5"/>
    <w:rsid w:val="00C2605A"/>
    <w:rsid w:val="00C26368"/>
    <w:rsid w:val="00C30423"/>
    <w:rsid w:val="00C31320"/>
    <w:rsid w:val="00C319D4"/>
    <w:rsid w:val="00C31B08"/>
    <w:rsid w:val="00C32264"/>
    <w:rsid w:val="00C3358D"/>
    <w:rsid w:val="00C34054"/>
    <w:rsid w:val="00C356E7"/>
    <w:rsid w:val="00C35918"/>
    <w:rsid w:val="00C35AB7"/>
    <w:rsid w:val="00C419D3"/>
    <w:rsid w:val="00C443D9"/>
    <w:rsid w:val="00C44BFD"/>
    <w:rsid w:val="00C45BEF"/>
    <w:rsid w:val="00C461C8"/>
    <w:rsid w:val="00C46333"/>
    <w:rsid w:val="00C47212"/>
    <w:rsid w:val="00C50ACB"/>
    <w:rsid w:val="00C51B09"/>
    <w:rsid w:val="00C529F2"/>
    <w:rsid w:val="00C52C03"/>
    <w:rsid w:val="00C52CA1"/>
    <w:rsid w:val="00C52CD5"/>
    <w:rsid w:val="00C5314D"/>
    <w:rsid w:val="00C5392C"/>
    <w:rsid w:val="00C53D49"/>
    <w:rsid w:val="00C5565F"/>
    <w:rsid w:val="00C556E0"/>
    <w:rsid w:val="00C5711D"/>
    <w:rsid w:val="00C57904"/>
    <w:rsid w:val="00C57D63"/>
    <w:rsid w:val="00C60A77"/>
    <w:rsid w:val="00C60D37"/>
    <w:rsid w:val="00C634CC"/>
    <w:rsid w:val="00C6418F"/>
    <w:rsid w:val="00C64A32"/>
    <w:rsid w:val="00C65670"/>
    <w:rsid w:val="00C6689A"/>
    <w:rsid w:val="00C702CA"/>
    <w:rsid w:val="00C70516"/>
    <w:rsid w:val="00C70CA4"/>
    <w:rsid w:val="00C71905"/>
    <w:rsid w:val="00C71D19"/>
    <w:rsid w:val="00C71E81"/>
    <w:rsid w:val="00C71F4F"/>
    <w:rsid w:val="00C72A20"/>
    <w:rsid w:val="00C72C92"/>
    <w:rsid w:val="00C72F19"/>
    <w:rsid w:val="00C73617"/>
    <w:rsid w:val="00C74F29"/>
    <w:rsid w:val="00C7516F"/>
    <w:rsid w:val="00C75A0F"/>
    <w:rsid w:val="00C77DAE"/>
    <w:rsid w:val="00C77F9F"/>
    <w:rsid w:val="00C80176"/>
    <w:rsid w:val="00C80B14"/>
    <w:rsid w:val="00C814BC"/>
    <w:rsid w:val="00C841F7"/>
    <w:rsid w:val="00C848EB"/>
    <w:rsid w:val="00C85671"/>
    <w:rsid w:val="00C871F6"/>
    <w:rsid w:val="00C90BF3"/>
    <w:rsid w:val="00C91913"/>
    <w:rsid w:val="00C91A7B"/>
    <w:rsid w:val="00C93314"/>
    <w:rsid w:val="00C9504C"/>
    <w:rsid w:val="00C9573E"/>
    <w:rsid w:val="00C9586E"/>
    <w:rsid w:val="00CA035B"/>
    <w:rsid w:val="00CA48F3"/>
    <w:rsid w:val="00CA4BEA"/>
    <w:rsid w:val="00CA5F3F"/>
    <w:rsid w:val="00CA6B62"/>
    <w:rsid w:val="00CA7831"/>
    <w:rsid w:val="00CB067A"/>
    <w:rsid w:val="00CB0BDA"/>
    <w:rsid w:val="00CB4A6B"/>
    <w:rsid w:val="00CB4F95"/>
    <w:rsid w:val="00CB534C"/>
    <w:rsid w:val="00CB7196"/>
    <w:rsid w:val="00CB7B21"/>
    <w:rsid w:val="00CC1CDA"/>
    <w:rsid w:val="00CC26AB"/>
    <w:rsid w:val="00CC2E1F"/>
    <w:rsid w:val="00CC318C"/>
    <w:rsid w:val="00CC447A"/>
    <w:rsid w:val="00CC44AB"/>
    <w:rsid w:val="00CC4E8B"/>
    <w:rsid w:val="00CC4FD4"/>
    <w:rsid w:val="00CC5B34"/>
    <w:rsid w:val="00CC5FC2"/>
    <w:rsid w:val="00CC6351"/>
    <w:rsid w:val="00CC6715"/>
    <w:rsid w:val="00CD31B1"/>
    <w:rsid w:val="00CD3A47"/>
    <w:rsid w:val="00CD4C48"/>
    <w:rsid w:val="00CD5C28"/>
    <w:rsid w:val="00CD689B"/>
    <w:rsid w:val="00CD6D45"/>
    <w:rsid w:val="00CD6E29"/>
    <w:rsid w:val="00CD708D"/>
    <w:rsid w:val="00CE1E65"/>
    <w:rsid w:val="00CE2E84"/>
    <w:rsid w:val="00CE4322"/>
    <w:rsid w:val="00CE4DF4"/>
    <w:rsid w:val="00CE6EF8"/>
    <w:rsid w:val="00CF1A15"/>
    <w:rsid w:val="00CF21A7"/>
    <w:rsid w:val="00CF2D7E"/>
    <w:rsid w:val="00CF2E91"/>
    <w:rsid w:val="00CF2F8F"/>
    <w:rsid w:val="00CF34CF"/>
    <w:rsid w:val="00CF42C3"/>
    <w:rsid w:val="00CF5862"/>
    <w:rsid w:val="00CF6660"/>
    <w:rsid w:val="00D01309"/>
    <w:rsid w:val="00D0189F"/>
    <w:rsid w:val="00D0671E"/>
    <w:rsid w:val="00D07546"/>
    <w:rsid w:val="00D104F3"/>
    <w:rsid w:val="00D12AC5"/>
    <w:rsid w:val="00D14C8B"/>
    <w:rsid w:val="00D1545C"/>
    <w:rsid w:val="00D203C7"/>
    <w:rsid w:val="00D205B0"/>
    <w:rsid w:val="00D21725"/>
    <w:rsid w:val="00D21CA1"/>
    <w:rsid w:val="00D22489"/>
    <w:rsid w:val="00D24688"/>
    <w:rsid w:val="00D253E6"/>
    <w:rsid w:val="00D26535"/>
    <w:rsid w:val="00D26E0A"/>
    <w:rsid w:val="00D300C1"/>
    <w:rsid w:val="00D30BB2"/>
    <w:rsid w:val="00D326CF"/>
    <w:rsid w:val="00D330FB"/>
    <w:rsid w:val="00D333A2"/>
    <w:rsid w:val="00D3457B"/>
    <w:rsid w:val="00D3477A"/>
    <w:rsid w:val="00D36032"/>
    <w:rsid w:val="00D404B1"/>
    <w:rsid w:val="00D4168A"/>
    <w:rsid w:val="00D428D3"/>
    <w:rsid w:val="00D44AAA"/>
    <w:rsid w:val="00D46EDB"/>
    <w:rsid w:val="00D52513"/>
    <w:rsid w:val="00D52D5D"/>
    <w:rsid w:val="00D53743"/>
    <w:rsid w:val="00D56757"/>
    <w:rsid w:val="00D56AC1"/>
    <w:rsid w:val="00D57995"/>
    <w:rsid w:val="00D641AB"/>
    <w:rsid w:val="00D64E5F"/>
    <w:rsid w:val="00D66A1C"/>
    <w:rsid w:val="00D66DD3"/>
    <w:rsid w:val="00D73022"/>
    <w:rsid w:val="00D75B2B"/>
    <w:rsid w:val="00D7603E"/>
    <w:rsid w:val="00D7618C"/>
    <w:rsid w:val="00D7734E"/>
    <w:rsid w:val="00D80115"/>
    <w:rsid w:val="00D81122"/>
    <w:rsid w:val="00D819E9"/>
    <w:rsid w:val="00D828D0"/>
    <w:rsid w:val="00D831AC"/>
    <w:rsid w:val="00D83688"/>
    <w:rsid w:val="00D8492A"/>
    <w:rsid w:val="00D84E88"/>
    <w:rsid w:val="00D85AFD"/>
    <w:rsid w:val="00D878A1"/>
    <w:rsid w:val="00D87BC3"/>
    <w:rsid w:val="00D91A3C"/>
    <w:rsid w:val="00D91D87"/>
    <w:rsid w:val="00D92B12"/>
    <w:rsid w:val="00D93055"/>
    <w:rsid w:val="00D951C2"/>
    <w:rsid w:val="00D961C4"/>
    <w:rsid w:val="00D9668D"/>
    <w:rsid w:val="00D97F10"/>
    <w:rsid w:val="00DA2097"/>
    <w:rsid w:val="00DA2B9E"/>
    <w:rsid w:val="00DA311B"/>
    <w:rsid w:val="00DA5525"/>
    <w:rsid w:val="00DA66BE"/>
    <w:rsid w:val="00DB091B"/>
    <w:rsid w:val="00DB14FA"/>
    <w:rsid w:val="00DB1C6F"/>
    <w:rsid w:val="00DB341A"/>
    <w:rsid w:val="00DB4ECF"/>
    <w:rsid w:val="00DC0F95"/>
    <w:rsid w:val="00DC15FB"/>
    <w:rsid w:val="00DC35C0"/>
    <w:rsid w:val="00DC6265"/>
    <w:rsid w:val="00DC6781"/>
    <w:rsid w:val="00DC6C3F"/>
    <w:rsid w:val="00DC723A"/>
    <w:rsid w:val="00DD01B2"/>
    <w:rsid w:val="00DD2749"/>
    <w:rsid w:val="00DD2F06"/>
    <w:rsid w:val="00DD2F78"/>
    <w:rsid w:val="00DD3FCE"/>
    <w:rsid w:val="00DD4C54"/>
    <w:rsid w:val="00DD4EB6"/>
    <w:rsid w:val="00DD5C99"/>
    <w:rsid w:val="00DD5EC3"/>
    <w:rsid w:val="00DD699F"/>
    <w:rsid w:val="00DD6D6D"/>
    <w:rsid w:val="00DD6F80"/>
    <w:rsid w:val="00DE120C"/>
    <w:rsid w:val="00DE1B40"/>
    <w:rsid w:val="00DE3416"/>
    <w:rsid w:val="00DE5587"/>
    <w:rsid w:val="00DE6452"/>
    <w:rsid w:val="00DE6A5A"/>
    <w:rsid w:val="00DE7028"/>
    <w:rsid w:val="00DF05DF"/>
    <w:rsid w:val="00DF0936"/>
    <w:rsid w:val="00DF1EDB"/>
    <w:rsid w:val="00DF35F0"/>
    <w:rsid w:val="00DF3C62"/>
    <w:rsid w:val="00DF7292"/>
    <w:rsid w:val="00DF77AE"/>
    <w:rsid w:val="00DF7EF1"/>
    <w:rsid w:val="00E01379"/>
    <w:rsid w:val="00E01A2F"/>
    <w:rsid w:val="00E02BE6"/>
    <w:rsid w:val="00E02F99"/>
    <w:rsid w:val="00E049AC"/>
    <w:rsid w:val="00E0551C"/>
    <w:rsid w:val="00E06437"/>
    <w:rsid w:val="00E10B14"/>
    <w:rsid w:val="00E10D28"/>
    <w:rsid w:val="00E11057"/>
    <w:rsid w:val="00E12884"/>
    <w:rsid w:val="00E1320B"/>
    <w:rsid w:val="00E141A4"/>
    <w:rsid w:val="00E1639D"/>
    <w:rsid w:val="00E16825"/>
    <w:rsid w:val="00E17AD2"/>
    <w:rsid w:val="00E17C7B"/>
    <w:rsid w:val="00E2251C"/>
    <w:rsid w:val="00E25B5C"/>
    <w:rsid w:val="00E2643D"/>
    <w:rsid w:val="00E27764"/>
    <w:rsid w:val="00E27FD1"/>
    <w:rsid w:val="00E30164"/>
    <w:rsid w:val="00E30299"/>
    <w:rsid w:val="00E32554"/>
    <w:rsid w:val="00E34F67"/>
    <w:rsid w:val="00E36A8C"/>
    <w:rsid w:val="00E373B4"/>
    <w:rsid w:val="00E37659"/>
    <w:rsid w:val="00E37B42"/>
    <w:rsid w:val="00E37F63"/>
    <w:rsid w:val="00E416BB"/>
    <w:rsid w:val="00E43DA1"/>
    <w:rsid w:val="00E4455A"/>
    <w:rsid w:val="00E508B4"/>
    <w:rsid w:val="00E53324"/>
    <w:rsid w:val="00E539B7"/>
    <w:rsid w:val="00E55468"/>
    <w:rsid w:val="00E55AD5"/>
    <w:rsid w:val="00E55B66"/>
    <w:rsid w:val="00E56BDB"/>
    <w:rsid w:val="00E62A1D"/>
    <w:rsid w:val="00E66274"/>
    <w:rsid w:val="00E66283"/>
    <w:rsid w:val="00E67E1E"/>
    <w:rsid w:val="00E70EA9"/>
    <w:rsid w:val="00E72E86"/>
    <w:rsid w:val="00E74106"/>
    <w:rsid w:val="00E74CF4"/>
    <w:rsid w:val="00E77E3A"/>
    <w:rsid w:val="00E8261D"/>
    <w:rsid w:val="00E83CEF"/>
    <w:rsid w:val="00E84913"/>
    <w:rsid w:val="00E85069"/>
    <w:rsid w:val="00E85093"/>
    <w:rsid w:val="00E85419"/>
    <w:rsid w:val="00E85852"/>
    <w:rsid w:val="00E8585E"/>
    <w:rsid w:val="00E85E24"/>
    <w:rsid w:val="00E85FD6"/>
    <w:rsid w:val="00E90A0F"/>
    <w:rsid w:val="00E90C45"/>
    <w:rsid w:val="00E929D7"/>
    <w:rsid w:val="00E935C3"/>
    <w:rsid w:val="00E938B2"/>
    <w:rsid w:val="00E94E5E"/>
    <w:rsid w:val="00E973A0"/>
    <w:rsid w:val="00E9745C"/>
    <w:rsid w:val="00E976AB"/>
    <w:rsid w:val="00EA08F7"/>
    <w:rsid w:val="00EA0C79"/>
    <w:rsid w:val="00EA228B"/>
    <w:rsid w:val="00EA3E02"/>
    <w:rsid w:val="00EA5FFD"/>
    <w:rsid w:val="00EB1943"/>
    <w:rsid w:val="00EB1EAB"/>
    <w:rsid w:val="00EB383D"/>
    <w:rsid w:val="00EB3960"/>
    <w:rsid w:val="00EB6233"/>
    <w:rsid w:val="00EB694F"/>
    <w:rsid w:val="00EB6D2D"/>
    <w:rsid w:val="00EC0B7C"/>
    <w:rsid w:val="00EC0DC6"/>
    <w:rsid w:val="00EC0F46"/>
    <w:rsid w:val="00EC3BAC"/>
    <w:rsid w:val="00EC7755"/>
    <w:rsid w:val="00EC7C2E"/>
    <w:rsid w:val="00ED1F46"/>
    <w:rsid w:val="00ED3C66"/>
    <w:rsid w:val="00ED452F"/>
    <w:rsid w:val="00ED6523"/>
    <w:rsid w:val="00ED6802"/>
    <w:rsid w:val="00ED7D9B"/>
    <w:rsid w:val="00EE0B09"/>
    <w:rsid w:val="00EE1EA9"/>
    <w:rsid w:val="00EE23F2"/>
    <w:rsid w:val="00EE2B81"/>
    <w:rsid w:val="00EE3406"/>
    <w:rsid w:val="00EE405B"/>
    <w:rsid w:val="00EE519E"/>
    <w:rsid w:val="00EE627A"/>
    <w:rsid w:val="00EE6E21"/>
    <w:rsid w:val="00EE7246"/>
    <w:rsid w:val="00EE7371"/>
    <w:rsid w:val="00EE79DB"/>
    <w:rsid w:val="00EE7AC3"/>
    <w:rsid w:val="00EF0515"/>
    <w:rsid w:val="00EF1A15"/>
    <w:rsid w:val="00EF372A"/>
    <w:rsid w:val="00EF3B83"/>
    <w:rsid w:val="00EF4217"/>
    <w:rsid w:val="00EF43EC"/>
    <w:rsid w:val="00EF5092"/>
    <w:rsid w:val="00EF540B"/>
    <w:rsid w:val="00EF6893"/>
    <w:rsid w:val="00EF78DE"/>
    <w:rsid w:val="00F036E0"/>
    <w:rsid w:val="00F06969"/>
    <w:rsid w:val="00F06DCB"/>
    <w:rsid w:val="00F06F46"/>
    <w:rsid w:val="00F10F6C"/>
    <w:rsid w:val="00F11991"/>
    <w:rsid w:val="00F146BB"/>
    <w:rsid w:val="00F169C2"/>
    <w:rsid w:val="00F179BA"/>
    <w:rsid w:val="00F208D2"/>
    <w:rsid w:val="00F21D7E"/>
    <w:rsid w:val="00F22141"/>
    <w:rsid w:val="00F22473"/>
    <w:rsid w:val="00F22C26"/>
    <w:rsid w:val="00F25D75"/>
    <w:rsid w:val="00F273C0"/>
    <w:rsid w:val="00F304D4"/>
    <w:rsid w:val="00F31EFA"/>
    <w:rsid w:val="00F323F2"/>
    <w:rsid w:val="00F35807"/>
    <w:rsid w:val="00F35923"/>
    <w:rsid w:val="00F35DF2"/>
    <w:rsid w:val="00F36285"/>
    <w:rsid w:val="00F36F2B"/>
    <w:rsid w:val="00F378AA"/>
    <w:rsid w:val="00F40059"/>
    <w:rsid w:val="00F42A99"/>
    <w:rsid w:val="00F43200"/>
    <w:rsid w:val="00F46027"/>
    <w:rsid w:val="00F460D1"/>
    <w:rsid w:val="00F4619F"/>
    <w:rsid w:val="00F46708"/>
    <w:rsid w:val="00F50D73"/>
    <w:rsid w:val="00F516AF"/>
    <w:rsid w:val="00F51FB0"/>
    <w:rsid w:val="00F53738"/>
    <w:rsid w:val="00F547E8"/>
    <w:rsid w:val="00F57AB8"/>
    <w:rsid w:val="00F60B0B"/>
    <w:rsid w:val="00F61502"/>
    <w:rsid w:val="00F619AE"/>
    <w:rsid w:val="00F61B7E"/>
    <w:rsid w:val="00F627C1"/>
    <w:rsid w:val="00F62CCF"/>
    <w:rsid w:val="00F65DF7"/>
    <w:rsid w:val="00F715C8"/>
    <w:rsid w:val="00F7200F"/>
    <w:rsid w:val="00F72547"/>
    <w:rsid w:val="00F73CA5"/>
    <w:rsid w:val="00F75A90"/>
    <w:rsid w:val="00F75EAD"/>
    <w:rsid w:val="00F7708F"/>
    <w:rsid w:val="00F7794F"/>
    <w:rsid w:val="00F80309"/>
    <w:rsid w:val="00F804BE"/>
    <w:rsid w:val="00F80C7C"/>
    <w:rsid w:val="00F81AC1"/>
    <w:rsid w:val="00F82510"/>
    <w:rsid w:val="00F82A0F"/>
    <w:rsid w:val="00F841CE"/>
    <w:rsid w:val="00F8437A"/>
    <w:rsid w:val="00F87277"/>
    <w:rsid w:val="00F8791E"/>
    <w:rsid w:val="00F87D71"/>
    <w:rsid w:val="00F91D2F"/>
    <w:rsid w:val="00F91DF3"/>
    <w:rsid w:val="00F91F06"/>
    <w:rsid w:val="00F920D9"/>
    <w:rsid w:val="00F929A7"/>
    <w:rsid w:val="00F93702"/>
    <w:rsid w:val="00F93703"/>
    <w:rsid w:val="00F939A8"/>
    <w:rsid w:val="00F9589F"/>
    <w:rsid w:val="00F95B19"/>
    <w:rsid w:val="00F95F3C"/>
    <w:rsid w:val="00FA09C2"/>
    <w:rsid w:val="00FA164A"/>
    <w:rsid w:val="00FA1839"/>
    <w:rsid w:val="00FA2B40"/>
    <w:rsid w:val="00FA35BA"/>
    <w:rsid w:val="00FA3A5A"/>
    <w:rsid w:val="00FA4098"/>
    <w:rsid w:val="00FA4278"/>
    <w:rsid w:val="00FB0E58"/>
    <w:rsid w:val="00FB2347"/>
    <w:rsid w:val="00FB5595"/>
    <w:rsid w:val="00FB6815"/>
    <w:rsid w:val="00FB6CFB"/>
    <w:rsid w:val="00FC1A0B"/>
    <w:rsid w:val="00FC1BF6"/>
    <w:rsid w:val="00FC1D0B"/>
    <w:rsid w:val="00FC2917"/>
    <w:rsid w:val="00FC36FE"/>
    <w:rsid w:val="00FC3B46"/>
    <w:rsid w:val="00FC3D3A"/>
    <w:rsid w:val="00FC45CC"/>
    <w:rsid w:val="00FC4EC4"/>
    <w:rsid w:val="00FC62A8"/>
    <w:rsid w:val="00FC793C"/>
    <w:rsid w:val="00FD1446"/>
    <w:rsid w:val="00FD2C41"/>
    <w:rsid w:val="00FD400B"/>
    <w:rsid w:val="00FD459F"/>
    <w:rsid w:val="00FD4C52"/>
    <w:rsid w:val="00FD56F9"/>
    <w:rsid w:val="00FD64B9"/>
    <w:rsid w:val="00FD7E11"/>
    <w:rsid w:val="00FE04DE"/>
    <w:rsid w:val="00FE1170"/>
    <w:rsid w:val="00FE217F"/>
    <w:rsid w:val="00FE354D"/>
    <w:rsid w:val="00FE4114"/>
    <w:rsid w:val="00FE50C8"/>
    <w:rsid w:val="00FE6DC8"/>
    <w:rsid w:val="00FF06FB"/>
    <w:rsid w:val="00FF25A5"/>
    <w:rsid w:val="00FF289D"/>
    <w:rsid w:val="00FF3269"/>
    <w:rsid w:val="00FF535B"/>
    <w:rsid w:val="00FF74DE"/>
    <w:rsid w:val="024B1769"/>
    <w:rsid w:val="026A704C"/>
    <w:rsid w:val="02795775"/>
    <w:rsid w:val="02F0716B"/>
    <w:rsid w:val="03213D79"/>
    <w:rsid w:val="0322266E"/>
    <w:rsid w:val="045C6DB7"/>
    <w:rsid w:val="04770DFE"/>
    <w:rsid w:val="0604174F"/>
    <w:rsid w:val="06423A7F"/>
    <w:rsid w:val="06621B94"/>
    <w:rsid w:val="06692D54"/>
    <w:rsid w:val="06C95558"/>
    <w:rsid w:val="071334E7"/>
    <w:rsid w:val="076D4FE0"/>
    <w:rsid w:val="07AD440F"/>
    <w:rsid w:val="07C51A93"/>
    <w:rsid w:val="085D5CFC"/>
    <w:rsid w:val="09204BC2"/>
    <w:rsid w:val="093614E1"/>
    <w:rsid w:val="09981C35"/>
    <w:rsid w:val="09E64D40"/>
    <w:rsid w:val="0A3D252F"/>
    <w:rsid w:val="0AA26D33"/>
    <w:rsid w:val="0B1472DB"/>
    <w:rsid w:val="0B1B4F68"/>
    <w:rsid w:val="0C2706B6"/>
    <w:rsid w:val="0C270FA4"/>
    <w:rsid w:val="0C2F58B3"/>
    <w:rsid w:val="0CED1C28"/>
    <w:rsid w:val="0D1E7134"/>
    <w:rsid w:val="0DDD6A75"/>
    <w:rsid w:val="0EB92A2D"/>
    <w:rsid w:val="0F6C7F3A"/>
    <w:rsid w:val="0F826121"/>
    <w:rsid w:val="100A1C4C"/>
    <w:rsid w:val="100F3582"/>
    <w:rsid w:val="103E1450"/>
    <w:rsid w:val="10F34ECE"/>
    <w:rsid w:val="11EB3339"/>
    <w:rsid w:val="12161390"/>
    <w:rsid w:val="121B7D48"/>
    <w:rsid w:val="1221307A"/>
    <w:rsid w:val="12DD2B24"/>
    <w:rsid w:val="13197696"/>
    <w:rsid w:val="14197196"/>
    <w:rsid w:val="144C19CC"/>
    <w:rsid w:val="1500624F"/>
    <w:rsid w:val="16AA7211"/>
    <w:rsid w:val="18864E8E"/>
    <w:rsid w:val="19A444DD"/>
    <w:rsid w:val="1A5919CB"/>
    <w:rsid w:val="1ACF7E8A"/>
    <w:rsid w:val="1B536F56"/>
    <w:rsid w:val="1BB156C8"/>
    <w:rsid w:val="1BBB1907"/>
    <w:rsid w:val="1C5F3559"/>
    <w:rsid w:val="1D740A0F"/>
    <w:rsid w:val="1D8B33CF"/>
    <w:rsid w:val="1DC33BA4"/>
    <w:rsid w:val="1E2D60FE"/>
    <w:rsid w:val="1F802A81"/>
    <w:rsid w:val="1F96269B"/>
    <w:rsid w:val="20174650"/>
    <w:rsid w:val="215D2C96"/>
    <w:rsid w:val="21B251F1"/>
    <w:rsid w:val="22040955"/>
    <w:rsid w:val="22842423"/>
    <w:rsid w:val="22BE7D7E"/>
    <w:rsid w:val="23E805E2"/>
    <w:rsid w:val="2425280A"/>
    <w:rsid w:val="24510C28"/>
    <w:rsid w:val="25204D9C"/>
    <w:rsid w:val="25BF2C5C"/>
    <w:rsid w:val="25E261D1"/>
    <w:rsid w:val="26043809"/>
    <w:rsid w:val="2685001A"/>
    <w:rsid w:val="26A153E9"/>
    <w:rsid w:val="26FC5EA6"/>
    <w:rsid w:val="273B0DF6"/>
    <w:rsid w:val="290B4488"/>
    <w:rsid w:val="298B0184"/>
    <w:rsid w:val="29B63D58"/>
    <w:rsid w:val="29BA53C2"/>
    <w:rsid w:val="29D37D7F"/>
    <w:rsid w:val="29FB4944"/>
    <w:rsid w:val="2A4A7A4F"/>
    <w:rsid w:val="2C39083B"/>
    <w:rsid w:val="2D932020"/>
    <w:rsid w:val="2DBB14A7"/>
    <w:rsid w:val="2E581F55"/>
    <w:rsid w:val="2E884920"/>
    <w:rsid w:val="2E9F5D59"/>
    <w:rsid w:val="2F021D35"/>
    <w:rsid w:val="2F2A7111"/>
    <w:rsid w:val="302B3AC4"/>
    <w:rsid w:val="305D5016"/>
    <w:rsid w:val="307870C8"/>
    <w:rsid w:val="30941AE2"/>
    <w:rsid w:val="312B74FC"/>
    <w:rsid w:val="31650800"/>
    <w:rsid w:val="31E548E3"/>
    <w:rsid w:val="322C14FB"/>
    <w:rsid w:val="32D8103F"/>
    <w:rsid w:val="33980A60"/>
    <w:rsid w:val="349D1D8A"/>
    <w:rsid w:val="355B796C"/>
    <w:rsid w:val="362804D1"/>
    <w:rsid w:val="362A20FE"/>
    <w:rsid w:val="363746AF"/>
    <w:rsid w:val="36394B42"/>
    <w:rsid w:val="36DA52DC"/>
    <w:rsid w:val="370E1C4C"/>
    <w:rsid w:val="375E32E5"/>
    <w:rsid w:val="384651AD"/>
    <w:rsid w:val="3967625D"/>
    <w:rsid w:val="3A310414"/>
    <w:rsid w:val="3A844ABD"/>
    <w:rsid w:val="3AA64AA0"/>
    <w:rsid w:val="3AEB149E"/>
    <w:rsid w:val="3B083D4D"/>
    <w:rsid w:val="3B4D0BBE"/>
    <w:rsid w:val="3B5444E8"/>
    <w:rsid w:val="3B7E6910"/>
    <w:rsid w:val="3BF3234A"/>
    <w:rsid w:val="3CDF7B5E"/>
    <w:rsid w:val="3CE2180A"/>
    <w:rsid w:val="3DB80B5A"/>
    <w:rsid w:val="3DD25B34"/>
    <w:rsid w:val="3E2461F9"/>
    <w:rsid w:val="3E8617E8"/>
    <w:rsid w:val="3F525D5B"/>
    <w:rsid w:val="40425F8C"/>
    <w:rsid w:val="40805D81"/>
    <w:rsid w:val="418A79EA"/>
    <w:rsid w:val="41BF5060"/>
    <w:rsid w:val="41FF58B8"/>
    <w:rsid w:val="4238259E"/>
    <w:rsid w:val="42DF4774"/>
    <w:rsid w:val="43642B82"/>
    <w:rsid w:val="43687957"/>
    <w:rsid w:val="436F3E23"/>
    <w:rsid w:val="43C825D7"/>
    <w:rsid w:val="43CA4FDB"/>
    <w:rsid w:val="44194F7A"/>
    <w:rsid w:val="44A13BED"/>
    <w:rsid w:val="455157C2"/>
    <w:rsid w:val="45AC2A88"/>
    <w:rsid w:val="45E25ADC"/>
    <w:rsid w:val="494C6E72"/>
    <w:rsid w:val="49B01F71"/>
    <w:rsid w:val="4A853379"/>
    <w:rsid w:val="4B671584"/>
    <w:rsid w:val="4B7B5270"/>
    <w:rsid w:val="4C284DC4"/>
    <w:rsid w:val="4C857A2A"/>
    <w:rsid w:val="4D076EEA"/>
    <w:rsid w:val="4D236CAB"/>
    <w:rsid w:val="4DBA2EC3"/>
    <w:rsid w:val="4DE93B06"/>
    <w:rsid w:val="4E354E37"/>
    <w:rsid w:val="4ECD6C59"/>
    <w:rsid w:val="4F2C6CC1"/>
    <w:rsid w:val="4F7F3544"/>
    <w:rsid w:val="503146A4"/>
    <w:rsid w:val="505900C3"/>
    <w:rsid w:val="5060762C"/>
    <w:rsid w:val="50B015F5"/>
    <w:rsid w:val="51B268F7"/>
    <w:rsid w:val="52090101"/>
    <w:rsid w:val="52C47355"/>
    <w:rsid w:val="532732B7"/>
    <w:rsid w:val="53F745A1"/>
    <w:rsid w:val="54596439"/>
    <w:rsid w:val="55915E8C"/>
    <w:rsid w:val="55EC69CF"/>
    <w:rsid w:val="574F5E69"/>
    <w:rsid w:val="58583BFF"/>
    <w:rsid w:val="587E1140"/>
    <w:rsid w:val="58ED533E"/>
    <w:rsid w:val="59D57F91"/>
    <w:rsid w:val="59EB6DBF"/>
    <w:rsid w:val="5A621A30"/>
    <w:rsid w:val="5A693564"/>
    <w:rsid w:val="5A936671"/>
    <w:rsid w:val="5AFF60D8"/>
    <w:rsid w:val="5B083805"/>
    <w:rsid w:val="5B1D76C4"/>
    <w:rsid w:val="5BCA26F0"/>
    <w:rsid w:val="5C1900D5"/>
    <w:rsid w:val="5C1B3997"/>
    <w:rsid w:val="5C337B2F"/>
    <w:rsid w:val="5D4F7A09"/>
    <w:rsid w:val="5EA24801"/>
    <w:rsid w:val="5EAB1D79"/>
    <w:rsid w:val="5F1B05EB"/>
    <w:rsid w:val="602950A3"/>
    <w:rsid w:val="608F5CAB"/>
    <w:rsid w:val="60AD3205"/>
    <w:rsid w:val="617851B2"/>
    <w:rsid w:val="62E77811"/>
    <w:rsid w:val="64410735"/>
    <w:rsid w:val="644E30A7"/>
    <w:rsid w:val="64EC4171"/>
    <w:rsid w:val="6579038B"/>
    <w:rsid w:val="65A861E6"/>
    <w:rsid w:val="65BA184F"/>
    <w:rsid w:val="663C74F5"/>
    <w:rsid w:val="66906A19"/>
    <w:rsid w:val="66AB28CE"/>
    <w:rsid w:val="68394454"/>
    <w:rsid w:val="698028F9"/>
    <w:rsid w:val="6A2B0E16"/>
    <w:rsid w:val="6A917AF4"/>
    <w:rsid w:val="6B0C674E"/>
    <w:rsid w:val="6B314429"/>
    <w:rsid w:val="6B6D3047"/>
    <w:rsid w:val="6C9A77C5"/>
    <w:rsid w:val="6D074710"/>
    <w:rsid w:val="6D1751E4"/>
    <w:rsid w:val="6D213074"/>
    <w:rsid w:val="6EA734AC"/>
    <w:rsid w:val="6F7D6A51"/>
    <w:rsid w:val="6FDB515A"/>
    <w:rsid w:val="6FE35B29"/>
    <w:rsid w:val="700326DF"/>
    <w:rsid w:val="702613AB"/>
    <w:rsid w:val="71126B6B"/>
    <w:rsid w:val="712717F4"/>
    <w:rsid w:val="71CA57DA"/>
    <w:rsid w:val="72027CC7"/>
    <w:rsid w:val="72273C89"/>
    <w:rsid w:val="72A55EE5"/>
    <w:rsid w:val="732346F9"/>
    <w:rsid w:val="74175B0F"/>
    <w:rsid w:val="741C521C"/>
    <w:rsid w:val="742D7639"/>
    <w:rsid w:val="74646826"/>
    <w:rsid w:val="74D0287B"/>
    <w:rsid w:val="74DB6DF8"/>
    <w:rsid w:val="74E757E9"/>
    <w:rsid w:val="76423E5E"/>
    <w:rsid w:val="76A3314A"/>
    <w:rsid w:val="76C36B11"/>
    <w:rsid w:val="7749275C"/>
    <w:rsid w:val="79190B68"/>
    <w:rsid w:val="79341A6D"/>
    <w:rsid w:val="794342C0"/>
    <w:rsid w:val="7AB03C80"/>
    <w:rsid w:val="7AC25D99"/>
    <w:rsid w:val="7B236472"/>
    <w:rsid w:val="7B283B57"/>
    <w:rsid w:val="7BFA3B06"/>
    <w:rsid w:val="7C104B41"/>
    <w:rsid w:val="7C4D34D0"/>
    <w:rsid w:val="7D7B71AD"/>
    <w:rsid w:val="7F1F04F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0" w:semiHidden="0" w:name="Normal Indent" w:locked="1"/>
    <w:lsdException w:uiPriority="99" w:name="footnote text" w:locked="1"/>
    <w:lsdException w:qFormat="1" w:uiPriority="99"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iPriority="99" w:semiHidden="0"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22" w:semiHidden="0" w:name="Strong" w:locked="1"/>
    <w:lsdException w:qFormat="1" w:unhideWhenUsed="0" w:uiPriority="20" w:semiHidden="0" w:name="Emphasis" w:locked="1"/>
    <w:lsdException w:qFormat="1" w:unhideWhenUsed="0" w:uiPriority="99" w:name="Document Map"/>
    <w:lsdException w:qFormat="1" w:unhideWhenUsed="0" w:uiPriority="0" w:semiHidden="0" w:name="Plain Text"/>
    <w:lsdException w:uiPriority="99" w:name="E-mail Signature" w:locked="1"/>
    <w:lsdException w:qFormat="1" w:uiPriority="99"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iPriority="99" w:semiHidden="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8"/>
      <w:lang w:val="en-US" w:eastAsia="zh-CN" w:bidi="ar-SA"/>
    </w:rPr>
  </w:style>
  <w:style w:type="paragraph" w:styleId="2">
    <w:name w:val="heading 1"/>
    <w:basedOn w:val="1"/>
    <w:next w:val="1"/>
    <w:link w:val="36"/>
    <w:qFormat/>
    <w:uiPriority w:val="99"/>
    <w:pPr>
      <w:keepNext/>
      <w:snapToGrid w:val="0"/>
      <w:spacing w:line="360" w:lineRule="atLeast"/>
      <w:outlineLvl w:val="0"/>
    </w:pPr>
    <w:rPr>
      <w:rFonts w:ascii="宋体" w:cs="宋体"/>
    </w:rPr>
  </w:style>
  <w:style w:type="paragraph" w:styleId="3">
    <w:name w:val="heading 2"/>
    <w:basedOn w:val="1"/>
    <w:next w:val="1"/>
    <w:link w:val="37"/>
    <w:qFormat/>
    <w:uiPriority w:val="99"/>
    <w:pPr>
      <w:keepNext/>
      <w:keepLines/>
      <w:spacing w:before="260" w:after="260" w:line="415" w:lineRule="auto"/>
      <w:outlineLvl w:val="1"/>
    </w:pPr>
    <w:rPr>
      <w:rFonts w:ascii="Arial" w:hAnsi="Arial" w:eastAsia="黑体" w:cs="Arial"/>
      <w:b/>
      <w:bCs/>
      <w:kern w:val="0"/>
      <w:sz w:val="32"/>
      <w:szCs w:val="32"/>
      <w:lang w:eastAsia="en-US"/>
    </w:rPr>
  </w:style>
  <w:style w:type="paragraph" w:styleId="4">
    <w:name w:val="heading 3"/>
    <w:basedOn w:val="1"/>
    <w:next w:val="1"/>
    <w:link w:val="38"/>
    <w:qFormat/>
    <w:uiPriority w:val="99"/>
    <w:pPr>
      <w:keepNext/>
      <w:keepLines/>
      <w:spacing w:before="260" w:after="260" w:line="415" w:lineRule="auto"/>
      <w:outlineLvl w:val="2"/>
    </w:pPr>
    <w:rPr>
      <w:b/>
      <w:bCs/>
      <w:sz w:val="32"/>
      <w:szCs w:val="32"/>
    </w:rPr>
  </w:style>
  <w:style w:type="paragraph" w:styleId="5">
    <w:name w:val="heading 4"/>
    <w:basedOn w:val="1"/>
    <w:next w:val="1"/>
    <w:link w:val="39"/>
    <w:qFormat/>
    <w:uiPriority w:val="99"/>
    <w:pPr>
      <w:keepNext/>
      <w:keepLines/>
      <w:spacing w:before="280" w:after="290" w:line="376" w:lineRule="auto"/>
      <w:outlineLvl w:val="3"/>
    </w:pPr>
    <w:rPr>
      <w:rFonts w:ascii="Arial" w:hAnsi="Arial" w:eastAsia="黑体" w:cs="Arial"/>
      <w:b/>
      <w:bCs/>
    </w:rPr>
  </w:style>
  <w:style w:type="character" w:default="1" w:styleId="31">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semiHidden/>
    <w:qFormat/>
    <w:uiPriority w:val="99"/>
    <w:pPr>
      <w:ind w:left="1200" w:leftChars="1200"/>
    </w:pPr>
  </w:style>
  <w:style w:type="paragraph" w:styleId="7">
    <w:name w:val="Normal Indent"/>
    <w:basedOn w:val="1"/>
    <w:link w:val="57"/>
    <w:qFormat/>
    <w:locked/>
    <w:uiPriority w:val="0"/>
    <w:pPr>
      <w:adjustRightInd w:val="0"/>
      <w:snapToGrid w:val="0"/>
      <w:spacing w:line="360" w:lineRule="auto"/>
      <w:ind w:firstLine="420"/>
    </w:pPr>
    <w:rPr>
      <w:sz w:val="24"/>
      <w:szCs w:val="20"/>
    </w:rPr>
  </w:style>
  <w:style w:type="paragraph" w:styleId="8">
    <w:name w:val="Document Map"/>
    <w:basedOn w:val="1"/>
    <w:link w:val="40"/>
    <w:semiHidden/>
    <w:qFormat/>
    <w:uiPriority w:val="99"/>
    <w:pPr>
      <w:shd w:val="clear" w:color="auto" w:fill="000080"/>
    </w:pPr>
  </w:style>
  <w:style w:type="paragraph" w:styleId="9">
    <w:name w:val="annotation text"/>
    <w:basedOn w:val="1"/>
    <w:link w:val="53"/>
    <w:unhideWhenUsed/>
    <w:qFormat/>
    <w:locked/>
    <w:uiPriority w:val="99"/>
    <w:pPr>
      <w:jc w:val="left"/>
    </w:pPr>
  </w:style>
  <w:style w:type="paragraph" w:styleId="10">
    <w:name w:val="Body Text"/>
    <w:basedOn w:val="1"/>
    <w:link w:val="41"/>
    <w:qFormat/>
    <w:uiPriority w:val="99"/>
    <w:pPr>
      <w:jc w:val="left"/>
    </w:pPr>
    <w:rPr>
      <w:rFonts w:ascii="宋体" w:cs="宋体"/>
    </w:rPr>
  </w:style>
  <w:style w:type="paragraph" w:styleId="11">
    <w:name w:val="Body Text Indent"/>
    <w:basedOn w:val="1"/>
    <w:link w:val="42"/>
    <w:qFormat/>
    <w:uiPriority w:val="99"/>
    <w:pPr>
      <w:spacing w:line="700" w:lineRule="exact"/>
      <w:ind w:left="960"/>
    </w:pPr>
    <w:rPr>
      <w:sz w:val="44"/>
      <w:szCs w:val="44"/>
    </w:rPr>
  </w:style>
  <w:style w:type="paragraph" w:styleId="12">
    <w:name w:val="toc 5"/>
    <w:basedOn w:val="1"/>
    <w:next w:val="1"/>
    <w:semiHidden/>
    <w:qFormat/>
    <w:uiPriority w:val="99"/>
    <w:pPr>
      <w:ind w:left="800" w:leftChars="800"/>
    </w:pPr>
  </w:style>
  <w:style w:type="paragraph" w:styleId="13">
    <w:name w:val="toc 3"/>
    <w:basedOn w:val="1"/>
    <w:next w:val="1"/>
    <w:semiHidden/>
    <w:qFormat/>
    <w:uiPriority w:val="99"/>
    <w:pPr>
      <w:ind w:left="400" w:leftChars="400"/>
    </w:pPr>
  </w:style>
  <w:style w:type="paragraph" w:styleId="14">
    <w:name w:val="Plain Text"/>
    <w:basedOn w:val="1"/>
    <w:link w:val="43"/>
    <w:qFormat/>
    <w:uiPriority w:val="0"/>
    <w:pPr>
      <w:tabs>
        <w:tab w:val="left" w:pos="8100"/>
        <w:tab w:val="left" w:pos="8280"/>
      </w:tabs>
      <w:spacing w:line="530" w:lineRule="exact"/>
      <w:ind w:firstLine="539"/>
      <w:jc w:val="left"/>
    </w:pPr>
    <w:rPr>
      <w:rFonts w:ascii="宋体" w:cs="宋体"/>
      <w:b/>
      <w:bCs/>
    </w:rPr>
  </w:style>
  <w:style w:type="paragraph" w:styleId="15">
    <w:name w:val="toc 8"/>
    <w:basedOn w:val="1"/>
    <w:next w:val="1"/>
    <w:semiHidden/>
    <w:qFormat/>
    <w:uiPriority w:val="99"/>
    <w:pPr>
      <w:ind w:left="1400" w:leftChars="1400"/>
    </w:pPr>
  </w:style>
  <w:style w:type="paragraph" w:styleId="16">
    <w:name w:val="Date"/>
    <w:basedOn w:val="1"/>
    <w:next w:val="1"/>
    <w:link w:val="44"/>
    <w:qFormat/>
    <w:uiPriority w:val="99"/>
  </w:style>
  <w:style w:type="paragraph" w:styleId="17">
    <w:name w:val="Body Text Indent 2"/>
    <w:basedOn w:val="1"/>
    <w:link w:val="45"/>
    <w:qFormat/>
    <w:uiPriority w:val="99"/>
    <w:pPr>
      <w:snapToGrid w:val="0"/>
      <w:spacing w:line="560" w:lineRule="atLeast"/>
      <w:ind w:firstLine="540"/>
    </w:pPr>
  </w:style>
  <w:style w:type="paragraph" w:styleId="18">
    <w:name w:val="Balloon Text"/>
    <w:basedOn w:val="1"/>
    <w:link w:val="46"/>
    <w:semiHidden/>
    <w:qFormat/>
    <w:uiPriority w:val="99"/>
    <w:rPr>
      <w:sz w:val="18"/>
      <w:szCs w:val="18"/>
    </w:rPr>
  </w:style>
  <w:style w:type="paragraph" w:styleId="19">
    <w:name w:val="footer"/>
    <w:basedOn w:val="1"/>
    <w:link w:val="47"/>
    <w:qFormat/>
    <w:uiPriority w:val="99"/>
    <w:pPr>
      <w:tabs>
        <w:tab w:val="center" w:pos="4153"/>
        <w:tab w:val="right" w:pos="8306"/>
      </w:tabs>
      <w:snapToGrid w:val="0"/>
      <w:jc w:val="left"/>
    </w:pPr>
    <w:rPr>
      <w:sz w:val="18"/>
      <w:szCs w:val="18"/>
    </w:rPr>
  </w:style>
  <w:style w:type="paragraph" w:styleId="20">
    <w:name w:val="header"/>
    <w:basedOn w:val="1"/>
    <w:link w:val="48"/>
    <w:qFormat/>
    <w:uiPriority w:val="99"/>
    <w:pPr>
      <w:pBdr>
        <w:bottom w:val="single" w:color="auto" w:sz="6" w:space="1"/>
      </w:pBdr>
      <w:tabs>
        <w:tab w:val="center" w:pos="4153"/>
        <w:tab w:val="right" w:pos="8306"/>
      </w:tabs>
      <w:snapToGrid w:val="0"/>
      <w:jc w:val="center"/>
    </w:pPr>
    <w:rPr>
      <w:sz w:val="18"/>
      <w:szCs w:val="18"/>
    </w:rPr>
  </w:style>
  <w:style w:type="paragraph" w:styleId="21">
    <w:name w:val="toc 1"/>
    <w:basedOn w:val="1"/>
    <w:next w:val="1"/>
    <w:semiHidden/>
    <w:qFormat/>
    <w:uiPriority w:val="99"/>
  </w:style>
  <w:style w:type="paragraph" w:styleId="22">
    <w:name w:val="toc 4"/>
    <w:basedOn w:val="1"/>
    <w:next w:val="1"/>
    <w:semiHidden/>
    <w:qFormat/>
    <w:uiPriority w:val="99"/>
    <w:pPr>
      <w:ind w:left="600" w:leftChars="600"/>
    </w:pPr>
  </w:style>
  <w:style w:type="paragraph" w:styleId="23">
    <w:name w:val="toc 6"/>
    <w:basedOn w:val="1"/>
    <w:next w:val="1"/>
    <w:semiHidden/>
    <w:qFormat/>
    <w:uiPriority w:val="99"/>
    <w:pPr>
      <w:ind w:left="1000" w:leftChars="1000"/>
    </w:pPr>
  </w:style>
  <w:style w:type="paragraph" w:styleId="24">
    <w:name w:val="Body Text Indent 3"/>
    <w:basedOn w:val="1"/>
    <w:link w:val="49"/>
    <w:qFormat/>
    <w:uiPriority w:val="99"/>
    <w:pPr>
      <w:spacing w:line="360" w:lineRule="auto"/>
      <w:ind w:firstLine="753"/>
    </w:pPr>
    <w:rPr>
      <w:b/>
      <w:bCs/>
      <w:i/>
      <w:iCs/>
    </w:rPr>
  </w:style>
  <w:style w:type="paragraph" w:styleId="25">
    <w:name w:val="toc 2"/>
    <w:basedOn w:val="1"/>
    <w:next w:val="1"/>
    <w:semiHidden/>
    <w:qFormat/>
    <w:uiPriority w:val="99"/>
    <w:pPr>
      <w:ind w:left="200" w:leftChars="200"/>
    </w:pPr>
  </w:style>
  <w:style w:type="paragraph" w:styleId="26">
    <w:name w:val="toc 9"/>
    <w:basedOn w:val="1"/>
    <w:next w:val="1"/>
    <w:semiHidden/>
    <w:qFormat/>
    <w:uiPriority w:val="99"/>
    <w:pPr>
      <w:ind w:left="1600" w:leftChars="1600"/>
    </w:pPr>
  </w:style>
  <w:style w:type="paragraph" w:styleId="27">
    <w:name w:val="Normal (Web)"/>
    <w:basedOn w:val="1"/>
    <w:unhideWhenUsed/>
    <w:qFormat/>
    <w:locked/>
    <w:uiPriority w:val="99"/>
    <w:pPr>
      <w:spacing w:before="100" w:beforeAutospacing="1" w:after="100" w:afterAutospacing="1"/>
      <w:jc w:val="left"/>
    </w:pPr>
    <w:rPr>
      <w:kern w:val="0"/>
      <w:sz w:val="24"/>
    </w:rPr>
  </w:style>
  <w:style w:type="paragraph" w:styleId="28">
    <w:name w:val="Title"/>
    <w:basedOn w:val="1"/>
    <w:next w:val="1"/>
    <w:link w:val="60"/>
    <w:qFormat/>
    <w:locked/>
    <w:uiPriority w:val="0"/>
    <w:pPr>
      <w:spacing w:before="240" w:after="60"/>
      <w:jc w:val="center"/>
      <w:outlineLvl w:val="0"/>
    </w:pPr>
    <w:rPr>
      <w:rFonts w:ascii="Calibri Light" w:hAnsi="Calibri Light"/>
      <w:b/>
      <w:bCs/>
      <w:sz w:val="32"/>
      <w:szCs w:val="32"/>
    </w:rPr>
  </w:style>
  <w:style w:type="paragraph" w:styleId="29">
    <w:name w:val="annotation subject"/>
    <w:basedOn w:val="9"/>
    <w:next w:val="9"/>
    <w:link w:val="54"/>
    <w:unhideWhenUsed/>
    <w:qFormat/>
    <w:locked/>
    <w:uiPriority w:val="99"/>
    <w:rPr>
      <w:b/>
      <w:bCs/>
    </w:rPr>
  </w:style>
  <w:style w:type="character" w:styleId="32">
    <w:name w:val="page number"/>
    <w:basedOn w:val="31"/>
    <w:qFormat/>
    <w:uiPriority w:val="0"/>
    <w:rPr>
      <w:rFonts w:cs="Times New Roman"/>
    </w:rPr>
  </w:style>
  <w:style w:type="character" w:styleId="33">
    <w:name w:val="FollowedHyperlink"/>
    <w:basedOn w:val="31"/>
    <w:qFormat/>
    <w:uiPriority w:val="99"/>
    <w:rPr>
      <w:rFonts w:cs="Times New Roman"/>
      <w:color w:val="800080"/>
      <w:u w:val="single"/>
    </w:rPr>
  </w:style>
  <w:style w:type="character" w:styleId="34">
    <w:name w:val="Hyperlink"/>
    <w:basedOn w:val="31"/>
    <w:qFormat/>
    <w:uiPriority w:val="99"/>
    <w:rPr>
      <w:rFonts w:cs="Times New Roman"/>
      <w:color w:val="0000FF"/>
      <w:u w:val="single"/>
    </w:rPr>
  </w:style>
  <w:style w:type="character" w:styleId="35">
    <w:name w:val="annotation reference"/>
    <w:basedOn w:val="31"/>
    <w:unhideWhenUsed/>
    <w:qFormat/>
    <w:locked/>
    <w:uiPriority w:val="99"/>
    <w:rPr>
      <w:sz w:val="21"/>
      <w:szCs w:val="21"/>
    </w:rPr>
  </w:style>
  <w:style w:type="character" w:customStyle="1" w:styleId="36">
    <w:name w:val="标题 1 字符"/>
    <w:basedOn w:val="31"/>
    <w:link w:val="2"/>
    <w:qFormat/>
    <w:locked/>
    <w:uiPriority w:val="99"/>
    <w:rPr>
      <w:rFonts w:eastAsia="宋体" w:cs="Times New Roman"/>
      <w:b/>
      <w:bCs/>
      <w:kern w:val="44"/>
      <w:sz w:val="44"/>
      <w:szCs w:val="44"/>
    </w:rPr>
  </w:style>
  <w:style w:type="character" w:customStyle="1" w:styleId="37">
    <w:name w:val="标题 2 字符"/>
    <w:basedOn w:val="31"/>
    <w:link w:val="3"/>
    <w:semiHidden/>
    <w:qFormat/>
    <w:locked/>
    <w:uiPriority w:val="99"/>
    <w:rPr>
      <w:rFonts w:ascii="Cambria" w:hAnsi="Cambria" w:eastAsia="宋体" w:cs="Cambria"/>
      <w:b/>
      <w:bCs/>
      <w:sz w:val="32"/>
      <w:szCs w:val="32"/>
    </w:rPr>
  </w:style>
  <w:style w:type="character" w:customStyle="1" w:styleId="38">
    <w:name w:val="标题 3 字符"/>
    <w:basedOn w:val="31"/>
    <w:link w:val="4"/>
    <w:semiHidden/>
    <w:qFormat/>
    <w:locked/>
    <w:uiPriority w:val="99"/>
    <w:rPr>
      <w:rFonts w:eastAsia="宋体" w:cs="Times New Roman"/>
      <w:b/>
      <w:bCs/>
      <w:sz w:val="32"/>
      <w:szCs w:val="32"/>
    </w:rPr>
  </w:style>
  <w:style w:type="character" w:customStyle="1" w:styleId="39">
    <w:name w:val="标题 4 字符"/>
    <w:basedOn w:val="31"/>
    <w:link w:val="5"/>
    <w:semiHidden/>
    <w:qFormat/>
    <w:locked/>
    <w:uiPriority w:val="99"/>
    <w:rPr>
      <w:rFonts w:ascii="Cambria" w:hAnsi="Cambria" w:eastAsia="宋体" w:cs="Cambria"/>
      <w:b/>
      <w:bCs/>
      <w:sz w:val="28"/>
      <w:szCs w:val="28"/>
    </w:rPr>
  </w:style>
  <w:style w:type="character" w:customStyle="1" w:styleId="40">
    <w:name w:val="文档结构图 字符"/>
    <w:basedOn w:val="31"/>
    <w:link w:val="8"/>
    <w:semiHidden/>
    <w:qFormat/>
    <w:locked/>
    <w:uiPriority w:val="99"/>
    <w:rPr>
      <w:rFonts w:eastAsia="宋体" w:cs="Times New Roman"/>
      <w:sz w:val="2"/>
      <w:szCs w:val="2"/>
    </w:rPr>
  </w:style>
  <w:style w:type="character" w:customStyle="1" w:styleId="41">
    <w:name w:val="正文文本 字符"/>
    <w:basedOn w:val="31"/>
    <w:link w:val="10"/>
    <w:semiHidden/>
    <w:qFormat/>
    <w:locked/>
    <w:uiPriority w:val="99"/>
    <w:rPr>
      <w:rFonts w:eastAsia="宋体" w:cs="Times New Roman"/>
      <w:sz w:val="28"/>
      <w:szCs w:val="28"/>
    </w:rPr>
  </w:style>
  <w:style w:type="character" w:customStyle="1" w:styleId="42">
    <w:name w:val="正文文本缩进 字符"/>
    <w:basedOn w:val="31"/>
    <w:link w:val="11"/>
    <w:semiHidden/>
    <w:qFormat/>
    <w:locked/>
    <w:uiPriority w:val="99"/>
    <w:rPr>
      <w:rFonts w:eastAsia="宋体" w:cs="Times New Roman"/>
      <w:sz w:val="28"/>
      <w:szCs w:val="28"/>
    </w:rPr>
  </w:style>
  <w:style w:type="character" w:customStyle="1" w:styleId="43">
    <w:name w:val="纯文本 字符"/>
    <w:basedOn w:val="31"/>
    <w:link w:val="14"/>
    <w:qFormat/>
    <w:locked/>
    <w:uiPriority w:val="0"/>
    <w:rPr>
      <w:rFonts w:ascii="宋体" w:hAnsi="Courier New" w:eastAsia="宋体" w:cs="宋体"/>
      <w:sz w:val="21"/>
      <w:szCs w:val="21"/>
    </w:rPr>
  </w:style>
  <w:style w:type="character" w:customStyle="1" w:styleId="44">
    <w:name w:val="日期 字符"/>
    <w:basedOn w:val="31"/>
    <w:link w:val="16"/>
    <w:semiHidden/>
    <w:qFormat/>
    <w:locked/>
    <w:uiPriority w:val="99"/>
    <w:rPr>
      <w:rFonts w:eastAsia="宋体" w:cs="Times New Roman"/>
      <w:sz w:val="28"/>
      <w:szCs w:val="28"/>
    </w:rPr>
  </w:style>
  <w:style w:type="character" w:customStyle="1" w:styleId="45">
    <w:name w:val="正文文本缩进 2 字符"/>
    <w:basedOn w:val="31"/>
    <w:link w:val="17"/>
    <w:semiHidden/>
    <w:qFormat/>
    <w:locked/>
    <w:uiPriority w:val="99"/>
    <w:rPr>
      <w:rFonts w:eastAsia="宋体" w:cs="Times New Roman"/>
      <w:sz w:val="28"/>
      <w:szCs w:val="28"/>
    </w:rPr>
  </w:style>
  <w:style w:type="character" w:customStyle="1" w:styleId="46">
    <w:name w:val="批注框文本 字符"/>
    <w:basedOn w:val="31"/>
    <w:link w:val="18"/>
    <w:semiHidden/>
    <w:qFormat/>
    <w:locked/>
    <w:uiPriority w:val="99"/>
    <w:rPr>
      <w:rFonts w:eastAsia="宋体" w:cs="Times New Roman"/>
      <w:sz w:val="2"/>
      <w:szCs w:val="2"/>
    </w:rPr>
  </w:style>
  <w:style w:type="character" w:customStyle="1" w:styleId="47">
    <w:name w:val="页脚 字符"/>
    <w:basedOn w:val="31"/>
    <w:link w:val="19"/>
    <w:semiHidden/>
    <w:qFormat/>
    <w:locked/>
    <w:uiPriority w:val="99"/>
    <w:rPr>
      <w:rFonts w:eastAsia="宋体" w:cs="Times New Roman"/>
      <w:sz w:val="18"/>
      <w:szCs w:val="18"/>
    </w:rPr>
  </w:style>
  <w:style w:type="character" w:customStyle="1" w:styleId="48">
    <w:name w:val="页眉 字符"/>
    <w:basedOn w:val="31"/>
    <w:link w:val="20"/>
    <w:semiHidden/>
    <w:qFormat/>
    <w:locked/>
    <w:uiPriority w:val="99"/>
    <w:rPr>
      <w:rFonts w:eastAsia="宋体" w:cs="Times New Roman"/>
      <w:sz w:val="18"/>
      <w:szCs w:val="18"/>
    </w:rPr>
  </w:style>
  <w:style w:type="character" w:customStyle="1" w:styleId="49">
    <w:name w:val="正文文本缩进 3 字符"/>
    <w:basedOn w:val="31"/>
    <w:link w:val="24"/>
    <w:semiHidden/>
    <w:qFormat/>
    <w:locked/>
    <w:uiPriority w:val="99"/>
    <w:rPr>
      <w:rFonts w:eastAsia="宋体" w:cs="Times New Roman"/>
      <w:sz w:val="16"/>
      <w:szCs w:val="16"/>
    </w:rPr>
  </w:style>
  <w:style w:type="paragraph" w:customStyle="1" w:styleId="50">
    <w:name w:val="Char Char Char Char"/>
    <w:basedOn w:val="8"/>
    <w:qFormat/>
    <w:uiPriority w:val="99"/>
    <w:pPr>
      <w:jc w:val="center"/>
    </w:pPr>
  </w:style>
  <w:style w:type="paragraph" w:customStyle="1" w:styleId="51">
    <w:name w:val="1"/>
    <w:basedOn w:val="1"/>
    <w:next w:val="14"/>
    <w:qFormat/>
    <w:uiPriority w:val="99"/>
    <w:rPr>
      <w:rFonts w:ascii="宋体" w:cs="宋体"/>
      <w:sz w:val="21"/>
      <w:szCs w:val="21"/>
    </w:rPr>
  </w:style>
  <w:style w:type="paragraph" w:customStyle="1" w:styleId="52">
    <w:name w:val="列出段落1"/>
    <w:basedOn w:val="1"/>
    <w:qFormat/>
    <w:uiPriority w:val="34"/>
    <w:pPr>
      <w:ind w:firstLine="420" w:firstLineChars="200"/>
    </w:pPr>
    <w:rPr>
      <w:sz w:val="20"/>
      <w:szCs w:val="20"/>
    </w:rPr>
  </w:style>
  <w:style w:type="character" w:customStyle="1" w:styleId="53">
    <w:name w:val="批注文字 字符"/>
    <w:basedOn w:val="31"/>
    <w:link w:val="9"/>
    <w:semiHidden/>
    <w:qFormat/>
    <w:uiPriority w:val="99"/>
    <w:rPr>
      <w:rFonts w:eastAsia="宋体"/>
      <w:sz w:val="28"/>
      <w:szCs w:val="28"/>
    </w:rPr>
  </w:style>
  <w:style w:type="character" w:customStyle="1" w:styleId="54">
    <w:name w:val="批注主题 字符"/>
    <w:basedOn w:val="53"/>
    <w:link w:val="29"/>
    <w:semiHidden/>
    <w:qFormat/>
    <w:uiPriority w:val="99"/>
    <w:rPr>
      <w:rFonts w:eastAsia="宋体"/>
      <w:b/>
      <w:bCs/>
      <w:sz w:val="28"/>
      <w:szCs w:val="28"/>
    </w:rPr>
  </w:style>
  <w:style w:type="paragraph" w:customStyle="1" w:styleId="55">
    <w:name w:val="图例"/>
    <w:basedOn w:val="1"/>
    <w:qFormat/>
    <w:uiPriority w:val="0"/>
    <w:pPr>
      <w:spacing w:before="120" w:after="120" w:line="360" w:lineRule="auto"/>
      <w:jc w:val="center"/>
    </w:pPr>
    <w:rPr>
      <w:rFonts w:eastAsia="仿宋_GB2312"/>
      <w:b/>
      <w:sz w:val="24"/>
      <w:szCs w:val="20"/>
    </w:rPr>
  </w:style>
  <w:style w:type="paragraph" w:customStyle="1" w:styleId="56">
    <w:name w:val="ecxmsonormal"/>
    <w:basedOn w:val="1"/>
    <w:qFormat/>
    <w:uiPriority w:val="0"/>
    <w:pPr>
      <w:widowControl/>
      <w:spacing w:after="324"/>
      <w:jc w:val="left"/>
    </w:pPr>
    <w:rPr>
      <w:rFonts w:ascii="宋体" w:hAnsi="宋体" w:cs="宋体"/>
      <w:kern w:val="0"/>
      <w:sz w:val="24"/>
      <w:szCs w:val="24"/>
    </w:rPr>
  </w:style>
  <w:style w:type="character" w:customStyle="1" w:styleId="57">
    <w:name w:val="正文缩进 字符"/>
    <w:link w:val="7"/>
    <w:qFormat/>
    <w:uiPriority w:val="0"/>
    <w:rPr>
      <w:rFonts w:eastAsia="宋体"/>
      <w:sz w:val="24"/>
      <w:szCs w:val="20"/>
    </w:rPr>
  </w:style>
  <w:style w:type="paragraph" w:customStyle="1" w:styleId="58">
    <w:name w:val="纯文本 New"/>
    <w:basedOn w:val="1"/>
    <w:qFormat/>
    <w:uiPriority w:val="0"/>
    <w:pPr>
      <w:spacing w:line="360" w:lineRule="auto"/>
      <w:ind w:firstLine="540" w:firstLineChars="192"/>
    </w:pPr>
    <w:rPr>
      <w:rFonts w:ascii="宋体" w:hAnsi="宋体" w:cs="Courier New"/>
      <w:b/>
      <w:bCs/>
      <w:szCs w:val="21"/>
    </w:rPr>
  </w:style>
  <w:style w:type="paragraph" w:customStyle="1" w:styleId="59">
    <w:name w:val="样式 首行缩进:  2 字符"/>
    <w:basedOn w:val="1"/>
    <w:qFormat/>
    <w:uiPriority w:val="0"/>
    <w:pPr>
      <w:spacing w:line="400" w:lineRule="exact"/>
      <w:ind w:firstLine="200" w:firstLineChars="200"/>
    </w:pPr>
    <w:rPr>
      <w:rFonts w:cs="宋体"/>
      <w:sz w:val="24"/>
      <w:szCs w:val="24"/>
    </w:rPr>
  </w:style>
  <w:style w:type="character" w:customStyle="1" w:styleId="60">
    <w:name w:val="标题 字符"/>
    <w:basedOn w:val="31"/>
    <w:link w:val="28"/>
    <w:qFormat/>
    <w:uiPriority w:val="0"/>
    <w:rPr>
      <w:rFonts w:ascii="Calibri Light" w:hAnsi="Calibri Light" w:eastAsia="宋体"/>
      <w:b/>
      <w:bCs/>
      <w:sz w:val="32"/>
      <w:szCs w:val="32"/>
    </w:rPr>
  </w:style>
  <w:style w:type="paragraph" w:styleId="6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B25008-1FF5-46ED-B918-9577273499FE}">
  <ds:schemaRefs/>
</ds:datastoreItem>
</file>

<file path=docProps/app.xml><?xml version="1.0" encoding="utf-8"?>
<Properties xmlns="http://schemas.openxmlformats.org/officeDocument/2006/extended-properties" xmlns:vt="http://schemas.openxmlformats.org/officeDocument/2006/docPropsVTypes">
  <Template>Normal</Template>
  <Company>nba</Company>
  <Pages>29</Pages>
  <Words>2413</Words>
  <Characters>13755</Characters>
  <Lines>114</Lines>
  <Paragraphs>32</Paragraphs>
  <TotalTime>0</TotalTime>
  <ScaleCrop>false</ScaleCrop>
  <LinksUpToDate>false</LinksUpToDate>
  <CharactersWithSpaces>16136</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2023-12-13T03:47:00Z</dcterms:created>
  <dc:creator>ysq</dc:creator>
  <cp:lastModifiedBy>Administrator</cp:lastModifiedBy>
  <cp:lastPrinted>2022-04-19T02:12:00Z</cp:lastPrinted>
  <dcterms:modified xsi:type="dcterms:W3CDTF">2023-12-14T07:47:44Z</dcterms:modified>
  <dc:title>议标项目</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EF35B6537FCD4B7BBB8D88A0DDF087EE</vt:lpwstr>
  </property>
</Properties>
</file>